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lang w:val="en-US" w:eastAsia="zh-CN"/>
        </w:rPr>
      </w:pPr>
      <w:r>
        <w:rPr>
          <w:rFonts w:hint="eastAsia"/>
          <w:b/>
          <w:bCs/>
          <w:sz w:val="32"/>
          <w:szCs w:val="40"/>
          <w:lang w:val="en-US" w:eastAsia="zh-CN"/>
        </w:rPr>
        <w:t>项目需求书</w:t>
      </w:r>
    </w:p>
    <w:p>
      <w:pPr>
        <w:rPr>
          <w:rFonts w:hint="eastAsia"/>
          <w:lang w:val="en-US" w:eastAsia="zh-CN"/>
        </w:rPr>
      </w:pPr>
    </w:p>
    <w:p>
      <w:pPr>
        <w:autoSpaceDE w:val="0"/>
        <w:autoSpaceDN w:val="0"/>
        <w:adjustRightInd w:val="0"/>
        <w:spacing w:line="440" w:lineRule="exact"/>
        <w:jc w:val="left"/>
        <w:outlineLvl w:val="0"/>
        <w:rPr>
          <w:rFonts w:ascii="宋体" w:cs="宋体"/>
          <w:b/>
          <w:kern w:val="0"/>
          <w:sz w:val="24"/>
        </w:rPr>
      </w:pPr>
      <w:bookmarkStart w:id="0" w:name="_Toc65659638"/>
      <w:r>
        <w:rPr>
          <w:rFonts w:hint="eastAsia" w:ascii="宋体" w:hAnsi="宋体" w:cs="宋体"/>
          <w:b/>
          <w:kern w:val="0"/>
          <w:sz w:val="24"/>
        </w:rPr>
        <w:t>一、项目概况</w:t>
      </w:r>
      <w:bookmarkEnd w:id="0"/>
    </w:p>
    <w:p>
      <w:pPr>
        <w:spacing w:line="440" w:lineRule="exact"/>
        <w:rPr>
          <w:rFonts w:ascii="宋体"/>
          <w:sz w:val="24"/>
        </w:rPr>
      </w:pPr>
      <w:r>
        <w:rPr>
          <w:rFonts w:hint="eastAsia" w:ascii="宋体" w:hAnsi="宋体"/>
          <w:sz w:val="24"/>
        </w:rPr>
        <w:t>本项目为</w:t>
      </w:r>
      <w:r>
        <w:rPr>
          <w:rFonts w:hint="eastAsia" w:ascii="宋体" w:hAnsi="宋体"/>
          <w:sz w:val="24"/>
          <w:lang w:eastAsia="zh-CN"/>
        </w:rPr>
        <w:t>广东省妇幼保健院设备带、呼叫系统维修（安装）工程供应商遴选项目</w:t>
      </w:r>
      <w:r>
        <w:rPr>
          <w:rFonts w:hint="eastAsia" w:ascii="宋体" w:hAnsi="宋体"/>
          <w:sz w:val="24"/>
        </w:rPr>
        <w:t>。工程报价均需要套用投标承诺价格，鼓励施工单位自愿让利，总包干及第三方审核方式交叉择低价进行结算。</w:t>
      </w:r>
    </w:p>
    <w:p>
      <w:pPr>
        <w:autoSpaceDE w:val="0"/>
        <w:autoSpaceDN w:val="0"/>
        <w:adjustRightInd w:val="0"/>
        <w:spacing w:line="440" w:lineRule="exact"/>
        <w:jc w:val="left"/>
        <w:outlineLvl w:val="0"/>
        <w:rPr>
          <w:rFonts w:ascii="宋体" w:cs="宋体"/>
          <w:b/>
          <w:kern w:val="0"/>
          <w:sz w:val="24"/>
        </w:rPr>
      </w:pPr>
      <w:bookmarkStart w:id="1" w:name="_Toc65659639"/>
      <w:r>
        <w:rPr>
          <w:rFonts w:hint="eastAsia" w:ascii="宋体" w:hAnsi="宋体" w:cs="宋体"/>
          <w:b/>
          <w:kern w:val="0"/>
          <w:sz w:val="24"/>
        </w:rPr>
        <w:t>二、项目内容</w:t>
      </w:r>
      <w:bookmarkEnd w:id="1"/>
    </w:p>
    <w:p>
      <w:pPr>
        <w:spacing w:line="440" w:lineRule="exact"/>
        <w:rPr>
          <w:rFonts w:ascii="宋体"/>
          <w:sz w:val="24"/>
        </w:rPr>
      </w:pPr>
      <w:r>
        <w:rPr>
          <w:rFonts w:hint="eastAsia" w:ascii="宋体" w:hAnsi="宋体"/>
          <w:sz w:val="24"/>
          <w:lang w:val="en-US" w:eastAsia="zh-CN"/>
        </w:rPr>
        <w:t>项目要求</w:t>
      </w:r>
      <w:r>
        <w:rPr>
          <w:rFonts w:hint="eastAsia" w:ascii="宋体" w:hAnsi="宋体"/>
          <w:sz w:val="24"/>
        </w:rPr>
        <w:t>包工、包料、包工期、包质量、包安全、包文明施工。按工程量清单、招标施工图纸及现场实际情况，采用投标综合单价包干，措施项目费总价包干，由中标人承担总承包的义务和责任。</w:t>
      </w:r>
    </w:p>
    <w:p>
      <w:pPr>
        <w:autoSpaceDE w:val="0"/>
        <w:autoSpaceDN w:val="0"/>
        <w:adjustRightInd w:val="0"/>
        <w:spacing w:line="440" w:lineRule="exact"/>
        <w:jc w:val="left"/>
        <w:outlineLvl w:val="0"/>
        <w:rPr>
          <w:rFonts w:ascii="宋体" w:cs="宋体"/>
          <w:b/>
          <w:kern w:val="0"/>
          <w:sz w:val="24"/>
        </w:rPr>
      </w:pPr>
      <w:bookmarkStart w:id="2" w:name="_Toc65659640"/>
      <w:r>
        <w:rPr>
          <w:rFonts w:hint="eastAsia" w:ascii="宋体" w:hAnsi="宋体" w:cs="宋体"/>
          <w:b/>
          <w:kern w:val="0"/>
          <w:sz w:val="24"/>
        </w:rPr>
        <w:t>三、总体要求</w:t>
      </w:r>
      <w:bookmarkEnd w:id="2"/>
    </w:p>
    <w:p>
      <w:pPr>
        <w:autoSpaceDE w:val="0"/>
        <w:autoSpaceDN w:val="0"/>
        <w:adjustRightInd w:val="0"/>
        <w:spacing w:line="440" w:lineRule="exact"/>
        <w:jc w:val="left"/>
        <w:rPr>
          <w:rFonts w:ascii="宋体"/>
          <w:sz w:val="24"/>
        </w:rPr>
      </w:pPr>
      <w:r>
        <w:rPr>
          <w:rFonts w:ascii="宋体" w:hAnsi="宋体"/>
          <w:sz w:val="24"/>
        </w:rPr>
        <w:t>1</w:t>
      </w:r>
      <w:r>
        <w:rPr>
          <w:rFonts w:ascii="宋体"/>
          <w:sz w:val="24"/>
        </w:rPr>
        <w:t>.</w:t>
      </w:r>
      <w:r>
        <w:rPr>
          <w:rFonts w:hint="eastAsia" w:ascii="宋体" w:hAnsi="宋体"/>
          <w:sz w:val="24"/>
        </w:rPr>
        <w:t>施工区域范围：</w:t>
      </w:r>
      <w:r>
        <w:rPr>
          <w:rFonts w:hint="eastAsia" w:ascii="宋体" w:hAnsi="宋体" w:cs="宋体"/>
          <w:sz w:val="24"/>
        </w:rPr>
        <w:t>越秀</w:t>
      </w:r>
      <w:r>
        <w:rPr>
          <w:rFonts w:hint="eastAsia" w:ascii="宋体" w:hAnsi="宋体" w:cs="宋体"/>
          <w:sz w:val="24"/>
          <w:lang w:eastAsia="zh-CN"/>
        </w:rPr>
        <w:t>、</w:t>
      </w:r>
      <w:r>
        <w:rPr>
          <w:rFonts w:hint="eastAsia" w:ascii="宋体" w:hAnsi="宋体" w:cs="宋体"/>
          <w:sz w:val="24"/>
          <w:lang w:val="en-US" w:eastAsia="zh-CN"/>
        </w:rPr>
        <w:t>天河及</w:t>
      </w:r>
      <w:r>
        <w:rPr>
          <w:rFonts w:hint="eastAsia" w:ascii="宋体" w:hAnsi="宋体" w:cs="宋体"/>
          <w:sz w:val="24"/>
        </w:rPr>
        <w:t>番禺院区</w:t>
      </w:r>
      <w:r>
        <w:rPr>
          <w:rFonts w:hint="eastAsia" w:ascii="宋体" w:hAnsi="宋体" w:cs="宋体"/>
          <w:sz w:val="24"/>
          <w:lang w:val="zh-CN"/>
        </w:rPr>
        <w:t>。</w:t>
      </w:r>
    </w:p>
    <w:p>
      <w:pPr>
        <w:autoSpaceDE w:val="0"/>
        <w:autoSpaceDN w:val="0"/>
        <w:adjustRightInd w:val="0"/>
        <w:spacing w:line="440" w:lineRule="exact"/>
        <w:jc w:val="left"/>
        <w:rPr>
          <w:rFonts w:ascii="宋体"/>
          <w:sz w:val="24"/>
        </w:rPr>
      </w:pPr>
      <w:r>
        <w:rPr>
          <w:rFonts w:ascii="宋体" w:hAnsi="宋体"/>
          <w:sz w:val="24"/>
        </w:rPr>
        <w:t>2.</w:t>
      </w:r>
      <w:r>
        <w:rPr>
          <w:rFonts w:hint="eastAsia" w:ascii="宋体" w:hAnsi="宋体"/>
          <w:sz w:val="24"/>
        </w:rPr>
        <w:t>本项目内容为广东省妇幼保健院设备带和呼叫系统、改移、加建、维修。</w:t>
      </w:r>
    </w:p>
    <w:p>
      <w:pPr>
        <w:numPr>
          <w:ilvl w:val="0"/>
          <w:numId w:val="1"/>
        </w:numPr>
        <w:tabs>
          <w:tab w:val="left" w:pos="113"/>
        </w:tabs>
        <w:spacing w:line="440" w:lineRule="exact"/>
        <w:ind w:left="360"/>
        <w:rPr>
          <w:rFonts w:ascii="宋体"/>
          <w:sz w:val="24"/>
        </w:rPr>
      </w:pPr>
      <w:r>
        <w:rPr>
          <w:rFonts w:hint="eastAsia" w:ascii="宋体" w:hAnsi="宋体"/>
          <w:sz w:val="24"/>
        </w:rPr>
        <w:t>投标人必须对各院区情况进行了解，并保证能协调相关科室、维修安装现场的工作情况，以保证项目顺利进行。</w:t>
      </w:r>
    </w:p>
    <w:p>
      <w:pPr>
        <w:numPr>
          <w:ilvl w:val="0"/>
          <w:numId w:val="1"/>
        </w:numPr>
        <w:tabs>
          <w:tab w:val="left" w:pos="113"/>
        </w:tabs>
        <w:spacing w:line="440" w:lineRule="exact"/>
        <w:ind w:left="360"/>
        <w:rPr>
          <w:rFonts w:ascii="宋体"/>
          <w:sz w:val="24"/>
        </w:rPr>
      </w:pPr>
      <w:r>
        <w:rPr>
          <w:rFonts w:hint="eastAsia" w:ascii="宋体" w:hAnsi="宋体"/>
          <w:sz w:val="24"/>
        </w:rPr>
        <w:t>中标人必须按投标文件提供管理人员名单并委派现场管理人员不得小于</w:t>
      </w:r>
      <w:r>
        <w:rPr>
          <w:rFonts w:ascii="宋体" w:hAnsi="宋体"/>
          <w:sz w:val="24"/>
        </w:rPr>
        <w:t>2</w:t>
      </w:r>
      <w:r>
        <w:rPr>
          <w:rFonts w:hint="eastAsia" w:ascii="宋体" w:hAnsi="宋体"/>
          <w:sz w:val="24"/>
        </w:rPr>
        <w:t>人，投标人的名单中负责该项目的项目负责人必须与投标时提供的项目负责人名单一致。</w:t>
      </w:r>
    </w:p>
    <w:p>
      <w:pPr>
        <w:numPr>
          <w:ilvl w:val="0"/>
          <w:numId w:val="1"/>
        </w:numPr>
        <w:tabs>
          <w:tab w:val="left" w:pos="113"/>
        </w:tabs>
        <w:spacing w:line="440" w:lineRule="exact"/>
        <w:ind w:left="360"/>
        <w:rPr>
          <w:rFonts w:ascii="宋体"/>
          <w:sz w:val="24"/>
        </w:rPr>
      </w:pPr>
      <w:r>
        <w:rPr>
          <w:rFonts w:hint="eastAsia" w:ascii="宋体" w:hAnsi="宋体"/>
          <w:sz w:val="24"/>
        </w:rPr>
        <w:t>承包人不得将其承包的全部工程或将其肢解后以分包的名义转包给第三方，一经发现，采购人有权追究其相关法律责任。</w:t>
      </w:r>
    </w:p>
    <w:p>
      <w:pPr>
        <w:numPr>
          <w:ilvl w:val="0"/>
          <w:numId w:val="1"/>
        </w:numPr>
        <w:tabs>
          <w:tab w:val="left" w:pos="113"/>
        </w:tabs>
        <w:spacing w:line="440" w:lineRule="exact"/>
        <w:ind w:left="360"/>
        <w:rPr>
          <w:rFonts w:ascii="宋体"/>
          <w:sz w:val="24"/>
        </w:rPr>
      </w:pPr>
      <w:r>
        <w:rPr>
          <w:rFonts w:hint="eastAsia" w:ascii="宋体" w:hAnsi="宋体"/>
          <w:sz w:val="24"/>
        </w:rPr>
        <w:t>进场维修施工人员的人员配备在进场施工之前要明确，进场工作人员名单要以书面文件形式报建设单位。进场的工作人员必须要佩戴入场工作证（由中标人置做），工作证上要注明工程项目名称、施工地点、姓名、性别、照片、职务等信息，保证一人一证。</w:t>
      </w:r>
    </w:p>
    <w:p>
      <w:pPr>
        <w:numPr>
          <w:ilvl w:val="0"/>
          <w:numId w:val="1"/>
        </w:numPr>
        <w:tabs>
          <w:tab w:val="left" w:pos="113"/>
        </w:tabs>
        <w:spacing w:line="440" w:lineRule="exact"/>
        <w:ind w:left="360"/>
        <w:rPr>
          <w:rFonts w:ascii="宋体"/>
          <w:sz w:val="24"/>
        </w:rPr>
      </w:pPr>
      <w:r>
        <w:rPr>
          <w:rFonts w:hint="eastAsia" w:ascii="宋体" w:hAnsi="宋体"/>
          <w:sz w:val="24"/>
        </w:rPr>
        <w:t>施工人员必须严格遵守一切规章制度，自觉接受检查，无证人员一律不得进入维修现场，维修期间自行解决食宿。维修人员未经批准不得进入其他区域。</w:t>
      </w:r>
    </w:p>
    <w:p>
      <w:pPr>
        <w:numPr>
          <w:ilvl w:val="0"/>
          <w:numId w:val="1"/>
        </w:numPr>
        <w:tabs>
          <w:tab w:val="left" w:pos="113"/>
        </w:tabs>
        <w:spacing w:line="440" w:lineRule="exact"/>
        <w:ind w:left="360"/>
        <w:rPr>
          <w:rFonts w:ascii="宋体"/>
          <w:sz w:val="24"/>
        </w:rPr>
      </w:pPr>
      <w:r>
        <w:rPr>
          <w:rFonts w:hint="eastAsia" w:ascii="宋体" w:hAnsi="宋体"/>
          <w:sz w:val="24"/>
        </w:rPr>
        <w:t>中标人必须遵守建设单位施工现场和人员管理的规定，安全生产，文明施工，尽量减少对建设单位正常运作的影响和保证人员的安全。</w:t>
      </w:r>
    </w:p>
    <w:p>
      <w:pPr>
        <w:numPr>
          <w:ilvl w:val="0"/>
          <w:numId w:val="1"/>
        </w:numPr>
        <w:tabs>
          <w:tab w:val="left" w:pos="113"/>
        </w:tabs>
        <w:spacing w:line="440" w:lineRule="exact"/>
        <w:ind w:left="360"/>
        <w:rPr>
          <w:rFonts w:ascii="宋体"/>
          <w:sz w:val="24"/>
        </w:rPr>
      </w:pPr>
      <w:r>
        <w:rPr>
          <w:rFonts w:hint="eastAsia" w:ascii="宋体" w:hAnsi="宋体"/>
          <w:sz w:val="24"/>
        </w:rPr>
        <w:t>中标人在施工过程中，如遇到需与外部相关的单位协调的问题时，应自行解决，采购人只负责协助。</w:t>
      </w:r>
    </w:p>
    <w:p>
      <w:pPr>
        <w:numPr>
          <w:ilvl w:val="0"/>
          <w:numId w:val="1"/>
        </w:numPr>
        <w:tabs>
          <w:tab w:val="left" w:pos="113"/>
        </w:tabs>
        <w:spacing w:line="440" w:lineRule="exact"/>
        <w:ind w:left="360"/>
        <w:rPr>
          <w:rFonts w:ascii="宋体"/>
          <w:sz w:val="24"/>
        </w:rPr>
      </w:pPr>
      <w:r>
        <w:rPr>
          <w:rFonts w:hint="eastAsia" w:ascii="宋体" w:hAnsi="宋体"/>
          <w:sz w:val="24"/>
        </w:rPr>
        <w:t>中标人负责施工现场的管理，必须注意施工安全、消防安全，做好安全文明施工工作，如因措施不当造成人身安全或工伤死亡事故，一切责任由中标人负责。</w:t>
      </w:r>
    </w:p>
    <w:p>
      <w:pPr>
        <w:tabs>
          <w:tab w:val="left" w:pos="113"/>
        </w:tabs>
        <w:spacing w:line="440" w:lineRule="exact"/>
        <w:rPr>
          <w:rFonts w:ascii="宋体"/>
          <w:sz w:val="24"/>
        </w:rPr>
      </w:pPr>
      <w:r>
        <w:rPr>
          <w:rFonts w:ascii="宋体" w:hAnsi="宋体"/>
          <w:sz w:val="24"/>
        </w:rPr>
        <w:t>9</w:t>
      </w:r>
      <w:r>
        <w:rPr>
          <w:rFonts w:hint="eastAsia" w:ascii="宋体" w:hAnsi="宋体"/>
          <w:sz w:val="24"/>
        </w:rPr>
        <w:t>）</w:t>
      </w:r>
      <w:r>
        <w:rPr>
          <w:rFonts w:ascii="宋体" w:hAnsi="宋体"/>
          <w:sz w:val="24"/>
        </w:rPr>
        <w:t xml:space="preserve"> </w:t>
      </w:r>
      <w:r>
        <w:rPr>
          <w:rFonts w:hint="eastAsia" w:ascii="宋体" w:hAnsi="宋体"/>
          <w:sz w:val="24"/>
        </w:rPr>
        <w:t>中标人应负责现场全部作业的安全，严格遵守执行有关安全保卫、安全施工、消防条例等规范。</w:t>
      </w:r>
    </w:p>
    <w:p>
      <w:pPr>
        <w:autoSpaceDE w:val="0"/>
        <w:autoSpaceDN w:val="0"/>
        <w:adjustRightInd w:val="0"/>
        <w:spacing w:line="440" w:lineRule="exact"/>
        <w:jc w:val="left"/>
        <w:outlineLvl w:val="0"/>
        <w:rPr>
          <w:rFonts w:ascii="宋体" w:cs="宋体"/>
          <w:b/>
          <w:bCs/>
          <w:kern w:val="0"/>
          <w:sz w:val="24"/>
        </w:rPr>
      </w:pPr>
      <w:bookmarkStart w:id="3" w:name="_Toc65659641"/>
      <w:r>
        <w:rPr>
          <w:rFonts w:hint="eastAsia" w:ascii="宋体" w:hAnsi="宋体"/>
          <w:b/>
          <w:bCs/>
          <w:sz w:val="24"/>
        </w:rPr>
        <w:t>四</w:t>
      </w:r>
      <w:r>
        <w:rPr>
          <w:rFonts w:hint="eastAsia" w:ascii="宋体" w:hAnsi="宋体" w:cs="宋体"/>
          <w:b/>
          <w:bCs/>
          <w:kern w:val="0"/>
          <w:sz w:val="24"/>
        </w:rPr>
        <w:t>、质量要求和质量保修期：</w:t>
      </w:r>
      <w:bookmarkEnd w:id="3"/>
    </w:p>
    <w:p>
      <w:pPr>
        <w:autoSpaceDE w:val="0"/>
        <w:autoSpaceDN w:val="0"/>
        <w:adjustRightInd w:val="0"/>
        <w:spacing w:line="440" w:lineRule="exact"/>
        <w:jc w:val="left"/>
        <w:rPr>
          <w:rFonts w:ascii="宋体"/>
          <w:sz w:val="24"/>
        </w:rPr>
      </w:pPr>
      <w:bookmarkStart w:id="4" w:name="_Toc65659642"/>
      <w:r>
        <w:rPr>
          <w:rFonts w:ascii="宋体" w:hAnsi="宋体"/>
          <w:sz w:val="24"/>
        </w:rPr>
        <w:t>1</w:t>
      </w:r>
      <w:r>
        <w:rPr>
          <w:rFonts w:hint="eastAsia" w:ascii="宋体" w:hAnsi="宋体"/>
          <w:sz w:val="24"/>
        </w:rPr>
        <w:t>、质量要求</w:t>
      </w:r>
      <w:bookmarkEnd w:id="4"/>
    </w:p>
    <w:p>
      <w:pPr>
        <w:spacing w:line="440" w:lineRule="exact"/>
        <w:rPr>
          <w:rFonts w:ascii="宋体"/>
          <w:sz w:val="24"/>
        </w:rPr>
      </w:pPr>
      <w:r>
        <w:rPr>
          <w:rFonts w:ascii="宋体" w:hAnsi="宋体"/>
          <w:sz w:val="24"/>
        </w:rPr>
        <w:t>1</w:t>
      </w:r>
      <w:r>
        <w:rPr>
          <w:rFonts w:hint="eastAsia" w:ascii="宋体" w:hAnsi="宋体"/>
          <w:sz w:val="24"/>
        </w:rPr>
        <w:t>）质量：符合《工程施工质量验收规范》合格标准。</w:t>
      </w:r>
    </w:p>
    <w:p>
      <w:pPr>
        <w:spacing w:line="440" w:lineRule="exact"/>
        <w:rPr>
          <w:rFonts w:ascii="宋体"/>
          <w:sz w:val="24"/>
        </w:rPr>
      </w:pPr>
      <w:r>
        <w:rPr>
          <w:rFonts w:ascii="宋体" w:hAnsi="宋体"/>
          <w:sz w:val="24"/>
        </w:rPr>
        <w:t>2</w:t>
      </w:r>
      <w:r>
        <w:rPr>
          <w:rFonts w:hint="eastAsia" w:ascii="宋体" w:hAnsi="宋体"/>
          <w:sz w:val="24"/>
        </w:rPr>
        <w:t>）本工程的材料、设备、施工须达到现行中华人民共和国以及省、自治区、直辖市或行业的工程建设标准、规范的要求及验收标准及有关规范为质量评定验收标准。</w:t>
      </w:r>
      <w:bookmarkStart w:id="12" w:name="_GoBack"/>
      <w:bookmarkEnd w:id="12"/>
    </w:p>
    <w:p>
      <w:pPr>
        <w:spacing w:line="440" w:lineRule="exact"/>
        <w:rPr>
          <w:rFonts w:ascii="宋体"/>
          <w:sz w:val="24"/>
        </w:rPr>
      </w:pPr>
      <w:r>
        <w:rPr>
          <w:rFonts w:ascii="宋体" w:hAnsi="宋体"/>
          <w:sz w:val="24"/>
        </w:rPr>
        <w:t>3</w:t>
      </w:r>
      <w:r>
        <w:rPr>
          <w:rFonts w:hint="eastAsia" w:ascii="宋体" w:hAnsi="宋体"/>
          <w:sz w:val="24"/>
        </w:rPr>
        <w:t>）工程竣工验收由采购人组织进行，由中标人编制相关验收文件及图纸（此项费用不再向采购人收取），验收合格后双方签署验收合格证书，工程交付采购人使用。</w:t>
      </w:r>
    </w:p>
    <w:p>
      <w:pPr>
        <w:autoSpaceDE w:val="0"/>
        <w:autoSpaceDN w:val="0"/>
        <w:adjustRightInd w:val="0"/>
        <w:spacing w:line="440" w:lineRule="exact"/>
        <w:jc w:val="left"/>
        <w:rPr>
          <w:rFonts w:ascii="宋体"/>
          <w:sz w:val="24"/>
        </w:rPr>
      </w:pPr>
      <w:r>
        <w:rPr>
          <w:rFonts w:ascii="宋体" w:hAnsi="宋体"/>
          <w:sz w:val="24"/>
        </w:rPr>
        <w:t>2</w:t>
      </w:r>
      <w:r>
        <w:rPr>
          <w:rFonts w:hint="eastAsia" w:ascii="宋体" w:hAnsi="宋体"/>
          <w:sz w:val="24"/>
        </w:rPr>
        <w:t>、质量保修期：</w:t>
      </w:r>
    </w:p>
    <w:p>
      <w:pPr>
        <w:spacing w:line="440" w:lineRule="exact"/>
        <w:rPr>
          <w:rFonts w:ascii="宋体"/>
          <w:sz w:val="24"/>
        </w:rPr>
      </w:pPr>
      <w:r>
        <w:rPr>
          <w:rFonts w:ascii="宋体" w:hAnsi="宋体"/>
          <w:sz w:val="24"/>
        </w:rPr>
        <w:t>1</w:t>
      </w:r>
      <w:r>
        <w:rPr>
          <w:rFonts w:hint="eastAsia" w:ascii="宋体" w:hAnsi="宋体"/>
          <w:sz w:val="24"/>
        </w:rPr>
        <w:t>）保修内容、范围：按国家有关规定的保修项目、内容、范围执行。</w:t>
      </w:r>
    </w:p>
    <w:p>
      <w:pPr>
        <w:spacing w:line="440" w:lineRule="exact"/>
        <w:rPr>
          <w:rFonts w:ascii="宋体"/>
          <w:sz w:val="24"/>
        </w:rPr>
      </w:pPr>
      <w:r>
        <w:rPr>
          <w:rFonts w:hint="eastAsia" w:ascii="宋体" w:hAnsi="宋体"/>
          <w:sz w:val="24"/>
        </w:rPr>
        <w:t>2）保修期限：保修期自维修安装项目竣工验收完成之日算起，在正常使用条件下，工程保修期限为</w:t>
      </w:r>
      <w:r>
        <w:rPr>
          <w:rFonts w:ascii="宋体" w:hAnsi="宋体"/>
          <w:sz w:val="24"/>
        </w:rPr>
        <w:t>2</w:t>
      </w:r>
      <w:r>
        <w:rPr>
          <w:rFonts w:hint="eastAsia" w:ascii="宋体" w:hAnsi="宋体"/>
          <w:sz w:val="24"/>
        </w:rPr>
        <w:t>年（有特殊约定的除外）。在此期间内发生的质量问题，由中标人负责免费更换和维修。超出质保期，中标人应以优惠价格供应材料及零配件。</w:t>
      </w:r>
    </w:p>
    <w:p>
      <w:pPr>
        <w:spacing w:line="440" w:lineRule="exact"/>
        <w:rPr>
          <w:rFonts w:ascii="宋体"/>
          <w:sz w:val="24"/>
        </w:rPr>
      </w:pPr>
      <w:r>
        <w:rPr>
          <w:rFonts w:hint="eastAsia" w:ascii="宋体" w:hAnsi="宋体"/>
          <w:sz w:val="24"/>
        </w:rPr>
        <w:t>3）提供最近的质保服务地址、电话及工作人员名单，并说明质保服务的范围和承诺。其中包括产品服务保修年限、保修期内发生故障到达现场时间等。</w:t>
      </w:r>
    </w:p>
    <w:p>
      <w:pPr>
        <w:numPr>
          <w:ilvl w:val="0"/>
          <w:numId w:val="2"/>
        </w:numPr>
        <w:spacing w:line="440" w:lineRule="exact"/>
        <w:rPr>
          <w:rFonts w:ascii="宋体" w:cs="宋体"/>
          <w:kern w:val="0"/>
          <w:sz w:val="24"/>
        </w:rPr>
      </w:pPr>
      <w:r>
        <w:rPr>
          <w:rFonts w:hint="eastAsia" w:ascii="宋体" w:hAnsi="宋体" w:cs="宋体"/>
          <w:kern w:val="0"/>
          <w:sz w:val="24"/>
        </w:rPr>
        <w:t>质量保修响应时间</w:t>
      </w:r>
    </w:p>
    <w:p>
      <w:pPr>
        <w:spacing w:line="440" w:lineRule="exact"/>
        <w:rPr>
          <w:rFonts w:ascii="宋体"/>
          <w:sz w:val="24"/>
        </w:rPr>
      </w:pPr>
      <w:r>
        <w:rPr>
          <w:rFonts w:ascii="宋体" w:hAnsi="宋体"/>
          <w:sz w:val="24"/>
        </w:rPr>
        <w:t>1</w:t>
      </w:r>
      <w:r>
        <w:rPr>
          <w:rFonts w:hint="eastAsia" w:ascii="宋体" w:hAnsi="宋体"/>
          <w:sz w:val="24"/>
        </w:rPr>
        <w:t>）属于保修范围的项目，中标人应在接到采购人通知后的</w:t>
      </w:r>
      <w:r>
        <w:rPr>
          <w:rFonts w:ascii="宋体" w:hAnsi="宋体"/>
          <w:sz w:val="24"/>
        </w:rPr>
        <w:t>3</w:t>
      </w:r>
      <w:r>
        <w:rPr>
          <w:rFonts w:hint="eastAsia" w:ascii="宋体" w:hAnsi="宋体"/>
          <w:sz w:val="24"/>
        </w:rPr>
        <w:t>小时内内派人保修。承包人未能在规定时间内派人保修的，发包人可自行或委托第三方保修，费用由中标人支付。</w:t>
      </w:r>
    </w:p>
    <w:p>
      <w:pPr>
        <w:spacing w:line="440" w:lineRule="exact"/>
        <w:rPr>
          <w:rFonts w:ascii="宋体"/>
          <w:sz w:val="24"/>
        </w:rPr>
      </w:pPr>
      <w:r>
        <w:rPr>
          <w:rFonts w:hint="eastAsia" w:ascii="宋体" w:hAnsi="宋体"/>
          <w:sz w:val="24"/>
        </w:rPr>
        <w:t>2）发生紧急抢修事故的，承包人在接到通知后，应立即到达事故现场抢修。</w:t>
      </w:r>
    </w:p>
    <w:p>
      <w:pPr>
        <w:autoSpaceDE w:val="0"/>
        <w:autoSpaceDN w:val="0"/>
        <w:adjustRightInd w:val="0"/>
        <w:spacing w:line="440" w:lineRule="exact"/>
        <w:jc w:val="left"/>
        <w:outlineLvl w:val="0"/>
        <w:rPr>
          <w:rFonts w:ascii="宋体"/>
          <w:b/>
          <w:bCs/>
          <w:sz w:val="24"/>
        </w:rPr>
      </w:pPr>
      <w:r>
        <w:rPr>
          <w:rFonts w:hint="eastAsia" w:ascii="宋体" w:hAnsi="宋体"/>
          <w:b/>
          <w:bCs/>
          <w:sz w:val="24"/>
        </w:rPr>
        <w:t>五、报价要求</w:t>
      </w:r>
    </w:p>
    <w:p>
      <w:pPr>
        <w:autoSpaceDE w:val="0"/>
        <w:autoSpaceDN w:val="0"/>
        <w:spacing w:line="440" w:lineRule="exact"/>
        <w:rPr>
          <w:rFonts w:ascii="宋体"/>
          <w:bCs/>
          <w:sz w:val="24"/>
        </w:rPr>
      </w:pPr>
      <w:r>
        <w:rPr>
          <w:rFonts w:hint="eastAsia" w:ascii="宋体" w:hAnsi="宋体"/>
          <w:bCs/>
          <w:sz w:val="24"/>
        </w:rPr>
        <w:t>根据采购人提供给中标人的医院基建维修申请流程审批单的内容作依据进行报价（说明：该单一次有效，不能重复），并遵循以下要求：</w:t>
      </w:r>
    </w:p>
    <w:p>
      <w:pPr>
        <w:tabs>
          <w:tab w:val="left" w:pos="426"/>
        </w:tabs>
        <w:spacing w:line="440" w:lineRule="exact"/>
        <w:rPr>
          <w:rFonts w:ascii="宋体"/>
          <w:sz w:val="24"/>
        </w:rPr>
      </w:pPr>
      <w:r>
        <w:rPr>
          <w:rFonts w:hint="eastAsia" w:ascii="宋体" w:hAnsi="宋体"/>
          <w:sz w:val="24"/>
        </w:rPr>
        <w:t>1、本工程的投标报价采用综合单价包干，措施项目费总价包干，包工、包料、包工期、包质量、包安全、包文明施工、包设计费、配合费等方式。</w:t>
      </w:r>
    </w:p>
    <w:p>
      <w:pPr>
        <w:tabs>
          <w:tab w:val="left" w:pos="284"/>
        </w:tabs>
        <w:spacing w:line="440" w:lineRule="exact"/>
        <w:rPr>
          <w:rFonts w:ascii="宋体"/>
          <w:sz w:val="24"/>
        </w:rPr>
      </w:pP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投标人的投标报价，应是完成本需求书所列招标工程范围及工期的全部，不得以任何理由予以重复，作为投标人计算单价或总价的依据。</w:t>
      </w:r>
    </w:p>
    <w:p>
      <w:pPr>
        <w:spacing w:line="440" w:lineRule="exact"/>
        <w:rPr>
          <w:rFonts w:hint="eastAsia" w:ascii="宋体" w:hAnsi="宋体"/>
          <w:sz w:val="24"/>
        </w:rPr>
      </w:pPr>
      <w:r>
        <w:rPr>
          <w:rFonts w:ascii="宋体" w:hAnsi="宋体"/>
          <w:sz w:val="24"/>
        </w:rPr>
        <w:t>3</w:t>
      </w:r>
      <w:r>
        <w:rPr>
          <w:rFonts w:hint="eastAsia" w:ascii="宋体" w:hAnsi="宋体"/>
          <w:sz w:val="24"/>
        </w:rPr>
        <w:t>、</w:t>
      </w:r>
      <w:r>
        <w:rPr>
          <w:rFonts w:ascii="宋体" w:hAnsi="宋体"/>
          <w:sz w:val="24"/>
        </w:rPr>
        <w:t xml:space="preserve"> </w:t>
      </w:r>
      <w:r>
        <w:rPr>
          <w:rFonts w:hint="eastAsia" w:ascii="宋体" w:hAnsi="宋体"/>
          <w:sz w:val="24"/>
        </w:rPr>
        <w:t>投标报价计费依据：</w:t>
      </w:r>
    </w:p>
    <w:p>
      <w:pPr>
        <w:spacing w:line="440" w:lineRule="exact"/>
        <w:rPr>
          <w:rFonts w:ascii="宋体"/>
          <w:sz w:val="24"/>
        </w:rPr>
      </w:pPr>
      <w:r>
        <w:rPr>
          <w:rFonts w:hint="eastAsia" w:ascii="宋体" w:hAnsi="宋体"/>
          <w:sz w:val="24"/>
        </w:rPr>
        <w:t>本项目工程主要</w:t>
      </w:r>
      <w:r>
        <w:rPr>
          <w:rFonts w:hint="eastAsia" w:ascii="宋体" w:hAnsi="宋体" w:cs="Arial"/>
          <w:sz w:val="24"/>
        </w:rPr>
        <w:t>材料价格（包含安装费、税管</w:t>
      </w:r>
      <w:r>
        <w:rPr>
          <w:rFonts w:hint="eastAsia" w:ascii="宋体" w:hAnsi="宋体" w:eastAsia="宋体" w:cs="Arial"/>
          <w:sz w:val="24"/>
        </w:rPr>
        <w:t>费</w:t>
      </w:r>
      <w:r>
        <w:rPr>
          <w:rFonts w:hint="eastAsia" w:ascii="宋体" w:hAnsi="宋体" w:eastAsia="宋体" w:cs="Arial"/>
          <w:sz w:val="24"/>
          <w:lang w:eastAsia="zh-CN"/>
        </w:rPr>
        <w:t>、调试费</w:t>
      </w:r>
      <w:r>
        <w:rPr>
          <w:rFonts w:hint="eastAsia" w:ascii="宋体" w:hAnsi="宋体" w:eastAsia="宋体" w:cs="Arial"/>
          <w:sz w:val="24"/>
        </w:rPr>
        <w:t>）由投标</w:t>
      </w:r>
      <w:r>
        <w:rPr>
          <w:rFonts w:hint="eastAsia" w:ascii="宋体" w:hAnsi="宋体"/>
          <w:sz w:val="24"/>
        </w:rPr>
        <w:t>人根据院区使用品牌统一报价。</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3019"/>
        <w:gridCol w:w="1877"/>
        <w:gridCol w:w="1812"/>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noWrap w:val="0"/>
            <w:vAlign w:val="center"/>
          </w:tcPr>
          <w:p>
            <w:pPr>
              <w:spacing w:line="440" w:lineRule="exact"/>
              <w:jc w:val="center"/>
              <w:rPr>
                <w:rFonts w:ascii="宋体"/>
                <w:color w:val="auto"/>
                <w:sz w:val="24"/>
              </w:rPr>
            </w:pPr>
            <w:r>
              <w:rPr>
                <w:rFonts w:hint="eastAsia" w:ascii="宋体" w:hAnsi="宋体"/>
                <w:color w:val="auto"/>
                <w:sz w:val="24"/>
              </w:rPr>
              <w:t>序号</w:t>
            </w:r>
          </w:p>
        </w:tc>
        <w:tc>
          <w:tcPr>
            <w:tcW w:w="3019" w:type="dxa"/>
            <w:noWrap w:val="0"/>
            <w:vAlign w:val="center"/>
          </w:tcPr>
          <w:p>
            <w:pPr>
              <w:spacing w:line="440" w:lineRule="exact"/>
              <w:jc w:val="center"/>
              <w:rPr>
                <w:rFonts w:ascii="宋体"/>
                <w:color w:val="auto"/>
                <w:sz w:val="24"/>
              </w:rPr>
            </w:pPr>
            <w:r>
              <w:rPr>
                <w:rFonts w:hint="eastAsia" w:ascii="宋体" w:hAnsi="宋体"/>
                <w:color w:val="auto"/>
                <w:sz w:val="24"/>
              </w:rPr>
              <w:t>项目</w:t>
            </w:r>
          </w:p>
        </w:tc>
        <w:tc>
          <w:tcPr>
            <w:tcW w:w="1877" w:type="dxa"/>
            <w:noWrap w:val="0"/>
            <w:vAlign w:val="center"/>
          </w:tcPr>
          <w:p>
            <w:pPr>
              <w:spacing w:line="440" w:lineRule="exact"/>
              <w:jc w:val="center"/>
              <w:rPr>
                <w:rFonts w:ascii="宋体"/>
                <w:color w:val="auto"/>
                <w:sz w:val="24"/>
              </w:rPr>
            </w:pPr>
            <w:r>
              <w:rPr>
                <w:rFonts w:hint="eastAsia" w:ascii="宋体" w:hAnsi="宋体"/>
                <w:color w:val="auto"/>
                <w:sz w:val="24"/>
              </w:rPr>
              <w:t>品牌</w:t>
            </w:r>
          </w:p>
        </w:tc>
        <w:tc>
          <w:tcPr>
            <w:tcW w:w="1812"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单价最高</w:t>
            </w:r>
            <w:r>
              <w:rPr>
                <w:rFonts w:hint="eastAsia" w:ascii="宋体" w:hAnsi="宋体"/>
                <w:color w:val="auto"/>
                <w:szCs w:val="21"/>
                <w:lang w:eastAsia="zh-CN"/>
              </w:rPr>
              <w:t>指导</w:t>
            </w:r>
            <w:r>
              <w:rPr>
                <w:rFonts w:hint="eastAsia" w:ascii="宋体" w:hAnsi="宋体"/>
                <w:color w:val="auto"/>
                <w:szCs w:val="21"/>
              </w:rPr>
              <w:t>价</w:t>
            </w:r>
          </w:p>
          <w:p>
            <w:pPr>
              <w:spacing w:line="440" w:lineRule="exact"/>
              <w:jc w:val="center"/>
              <w:rPr>
                <w:rFonts w:ascii="宋体" w:hAnsi="宋体"/>
                <w:color w:val="auto"/>
                <w:sz w:val="24"/>
              </w:rPr>
            </w:pPr>
            <w:r>
              <w:rPr>
                <w:rFonts w:hint="eastAsia" w:ascii="宋体" w:hAnsi="宋体"/>
                <w:color w:val="auto"/>
                <w:szCs w:val="21"/>
              </w:rPr>
              <w:t>（元）</w:t>
            </w:r>
          </w:p>
        </w:tc>
        <w:tc>
          <w:tcPr>
            <w:tcW w:w="1812" w:type="dxa"/>
            <w:noWrap w:val="0"/>
            <w:vAlign w:val="center"/>
          </w:tcPr>
          <w:p>
            <w:pPr>
              <w:spacing w:line="440" w:lineRule="exact"/>
              <w:jc w:val="center"/>
              <w:rPr>
                <w:rFonts w:hint="eastAsia" w:ascii="宋体" w:hAnsi="宋体"/>
                <w:color w:val="auto"/>
                <w:sz w:val="24"/>
              </w:rPr>
            </w:pPr>
            <w:r>
              <w:rPr>
                <w:rFonts w:hint="eastAsia" w:ascii="宋体" w:hAnsi="宋体"/>
                <w:color w:val="auto"/>
                <w:sz w:val="24"/>
              </w:rPr>
              <w:t>报价（单价）</w:t>
            </w:r>
          </w:p>
          <w:p>
            <w:pPr>
              <w:spacing w:line="440" w:lineRule="exact"/>
              <w:jc w:val="center"/>
              <w:rPr>
                <w:rFonts w:hint="eastAsia" w:ascii="宋体" w:hAnsi="宋体"/>
                <w:color w:val="auto"/>
                <w:sz w:val="24"/>
              </w:rPr>
            </w:pPr>
            <w:r>
              <w:rPr>
                <w:rFonts w:hint="eastAsia" w:ascii="宋体" w:hAnsi="宋体"/>
                <w:color w:val="auto"/>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Merge w:val="restart"/>
            <w:noWrap w:val="0"/>
            <w:vAlign w:val="center"/>
          </w:tcPr>
          <w:p>
            <w:pPr>
              <w:spacing w:line="440" w:lineRule="exact"/>
              <w:jc w:val="center"/>
              <w:rPr>
                <w:rFonts w:ascii="宋体" w:hAnsi="宋体"/>
                <w:color w:val="auto"/>
                <w:sz w:val="24"/>
              </w:rPr>
            </w:pPr>
            <w:r>
              <w:rPr>
                <w:rFonts w:ascii="宋体" w:hAnsi="宋体"/>
                <w:color w:val="auto"/>
                <w:sz w:val="24"/>
              </w:rPr>
              <w:t>1</w:t>
            </w:r>
          </w:p>
        </w:tc>
        <w:tc>
          <w:tcPr>
            <w:tcW w:w="3019" w:type="dxa"/>
            <w:vMerge w:val="restart"/>
            <w:noWrap w:val="0"/>
            <w:vAlign w:val="center"/>
          </w:tcPr>
          <w:p>
            <w:pPr>
              <w:spacing w:line="440" w:lineRule="exact"/>
              <w:jc w:val="center"/>
              <w:rPr>
                <w:rFonts w:ascii="宋体"/>
                <w:color w:val="auto"/>
                <w:sz w:val="24"/>
              </w:rPr>
            </w:pPr>
            <w:r>
              <w:rPr>
                <w:rFonts w:hint="eastAsia" w:ascii="宋体" w:hAnsi="宋体"/>
                <w:color w:val="auto"/>
                <w:sz w:val="24"/>
              </w:rPr>
              <w:t>氧气终端（个）</w:t>
            </w:r>
          </w:p>
        </w:tc>
        <w:tc>
          <w:tcPr>
            <w:tcW w:w="1877" w:type="dxa"/>
            <w:noWrap w:val="0"/>
            <w:vAlign w:val="center"/>
          </w:tcPr>
          <w:p>
            <w:pPr>
              <w:spacing w:line="440" w:lineRule="exact"/>
              <w:jc w:val="center"/>
              <w:rPr>
                <w:rFonts w:ascii="宋体"/>
                <w:color w:val="auto"/>
                <w:sz w:val="24"/>
              </w:rPr>
            </w:pPr>
            <w:r>
              <w:rPr>
                <w:rFonts w:hint="eastAsia" w:ascii="宋体" w:hAnsi="宋体"/>
                <w:color w:val="auto"/>
                <w:sz w:val="24"/>
              </w:rPr>
              <w:t>捷锐（德标）</w:t>
            </w:r>
          </w:p>
        </w:tc>
        <w:tc>
          <w:tcPr>
            <w:tcW w:w="1812" w:type="dxa"/>
            <w:noWrap w:val="0"/>
            <w:vAlign w:val="center"/>
          </w:tcPr>
          <w:p>
            <w:pPr>
              <w:spacing w:line="440" w:lineRule="exact"/>
              <w:jc w:val="center"/>
              <w:rPr>
                <w:rFonts w:ascii="宋体"/>
                <w:color w:val="auto"/>
                <w:sz w:val="24"/>
              </w:rPr>
            </w:pPr>
            <w:r>
              <w:rPr>
                <w:rFonts w:hint="eastAsia" w:ascii="宋体"/>
                <w:color w:val="auto"/>
                <w:sz w:val="24"/>
              </w:rPr>
              <w:t>480</w:t>
            </w:r>
          </w:p>
        </w:tc>
        <w:tc>
          <w:tcPr>
            <w:tcW w:w="1812" w:type="dxa"/>
            <w:noWrap w:val="0"/>
            <w:vAlign w:val="center"/>
          </w:tcPr>
          <w:p>
            <w:pPr>
              <w:spacing w:line="440" w:lineRule="exact"/>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Merge w:val="continue"/>
            <w:noWrap w:val="0"/>
            <w:vAlign w:val="center"/>
          </w:tcPr>
          <w:p>
            <w:pPr>
              <w:spacing w:line="440" w:lineRule="exact"/>
              <w:jc w:val="center"/>
              <w:rPr>
                <w:rFonts w:ascii="宋体"/>
                <w:color w:val="auto"/>
                <w:sz w:val="24"/>
              </w:rPr>
            </w:pPr>
          </w:p>
        </w:tc>
        <w:tc>
          <w:tcPr>
            <w:tcW w:w="3019" w:type="dxa"/>
            <w:vMerge w:val="continue"/>
            <w:noWrap w:val="0"/>
            <w:vAlign w:val="center"/>
          </w:tcPr>
          <w:p>
            <w:pPr>
              <w:spacing w:line="440" w:lineRule="exact"/>
              <w:jc w:val="center"/>
              <w:rPr>
                <w:rFonts w:ascii="宋体"/>
                <w:color w:val="auto"/>
                <w:sz w:val="24"/>
              </w:rPr>
            </w:pPr>
          </w:p>
        </w:tc>
        <w:tc>
          <w:tcPr>
            <w:tcW w:w="1877" w:type="dxa"/>
            <w:noWrap w:val="0"/>
            <w:vAlign w:val="center"/>
          </w:tcPr>
          <w:p>
            <w:pPr>
              <w:spacing w:line="440" w:lineRule="exact"/>
              <w:jc w:val="center"/>
              <w:rPr>
                <w:rFonts w:ascii="宋体"/>
                <w:color w:val="auto"/>
                <w:sz w:val="24"/>
              </w:rPr>
            </w:pPr>
            <w:r>
              <w:rPr>
                <w:rFonts w:hint="eastAsia" w:ascii="宋体" w:hAnsi="宋体"/>
                <w:color w:val="auto"/>
                <w:sz w:val="24"/>
              </w:rPr>
              <w:t>航宇（国标）</w:t>
            </w:r>
          </w:p>
        </w:tc>
        <w:tc>
          <w:tcPr>
            <w:tcW w:w="1812" w:type="dxa"/>
            <w:noWrap w:val="0"/>
            <w:vAlign w:val="center"/>
          </w:tcPr>
          <w:p>
            <w:pPr>
              <w:spacing w:line="440" w:lineRule="exact"/>
              <w:jc w:val="center"/>
              <w:rPr>
                <w:rFonts w:ascii="宋体"/>
                <w:color w:val="auto"/>
                <w:sz w:val="24"/>
              </w:rPr>
            </w:pPr>
            <w:r>
              <w:rPr>
                <w:rFonts w:hint="eastAsia" w:ascii="宋体"/>
                <w:color w:val="auto"/>
                <w:sz w:val="24"/>
              </w:rPr>
              <w:t>185</w:t>
            </w:r>
          </w:p>
        </w:tc>
        <w:tc>
          <w:tcPr>
            <w:tcW w:w="1812" w:type="dxa"/>
            <w:noWrap w:val="0"/>
            <w:vAlign w:val="center"/>
          </w:tcPr>
          <w:p>
            <w:pPr>
              <w:spacing w:line="440" w:lineRule="exact"/>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Merge w:val="restart"/>
            <w:noWrap w:val="0"/>
            <w:vAlign w:val="center"/>
          </w:tcPr>
          <w:p>
            <w:pPr>
              <w:spacing w:line="440" w:lineRule="exact"/>
              <w:jc w:val="center"/>
              <w:rPr>
                <w:rFonts w:ascii="宋体" w:hAnsi="宋体"/>
                <w:color w:val="auto"/>
                <w:sz w:val="24"/>
              </w:rPr>
            </w:pPr>
            <w:r>
              <w:rPr>
                <w:rFonts w:ascii="宋体" w:hAnsi="宋体"/>
                <w:color w:val="auto"/>
                <w:sz w:val="24"/>
              </w:rPr>
              <w:t>2</w:t>
            </w:r>
          </w:p>
        </w:tc>
        <w:tc>
          <w:tcPr>
            <w:tcW w:w="3019" w:type="dxa"/>
            <w:vMerge w:val="restart"/>
            <w:noWrap w:val="0"/>
            <w:vAlign w:val="center"/>
          </w:tcPr>
          <w:p>
            <w:pPr>
              <w:spacing w:line="440" w:lineRule="exact"/>
              <w:jc w:val="center"/>
              <w:rPr>
                <w:rFonts w:ascii="宋体"/>
                <w:color w:val="auto"/>
                <w:sz w:val="24"/>
              </w:rPr>
            </w:pPr>
            <w:r>
              <w:rPr>
                <w:rFonts w:hint="eastAsia" w:ascii="宋体" w:hAnsi="宋体"/>
                <w:color w:val="auto"/>
                <w:sz w:val="24"/>
              </w:rPr>
              <w:t>吸引终端（个）</w:t>
            </w:r>
          </w:p>
        </w:tc>
        <w:tc>
          <w:tcPr>
            <w:tcW w:w="1877" w:type="dxa"/>
            <w:noWrap w:val="0"/>
            <w:vAlign w:val="center"/>
          </w:tcPr>
          <w:p>
            <w:pPr>
              <w:spacing w:line="440" w:lineRule="exact"/>
              <w:jc w:val="center"/>
              <w:rPr>
                <w:rFonts w:ascii="宋体"/>
                <w:color w:val="auto"/>
                <w:sz w:val="24"/>
              </w:rPr>
            </w:pPr>
            <w:r>
              <w:rPr>
                <w:rFonts w:hint="eastAsia" w:ascii="宋体" w:hAnsi="宋体"/>
                <w:color w:val="auto"/>
                <w:sz w:val="24"/>
              </w:rPr>
              <w:t>捷锐（德标）</w:t>
            </w:r>
          </w:p>
        </w:tc>
        <w:tc>
          <w:tcPr>
            <w:tcW w:w="1812" w:type="dxa"/>
            <w:noWrap w:val="0"/>
            <w:vAlign w:val="center"/>
          </w:tcPr>
          <w:p>
            <w:pPr>
              <w:spacing w:line="440" w:lineRule="exact"/>
              <w:jc w:val="center"/>
              <w:rPr>
                <w:rFonts w:ascii="宋体"/>
                <w:color w:val="auto"/>
                <w:sz w:val="24"/>
              </w:rPr>
            </w:pPr>
            <w:r>
              <w:rPr>
                <w:rFonts w:hint="eastAsia" w:ascii="宋体"/>
                <w:color w:val="auto"/>
                <w:sz w:val="24"/>
              </w:rPr>
              <w:t>480</w:t>
            </w:r>
          </w:p>
        </w:tc>
        <w:tc>
          <w:tcPr>
            <w:tcW w:w="1812" w:type="dxa"/>
            <w:noWrap w:val="0"/>
            <w:vAlign w:val="center"/>
          </w:tcPr>
          <w:p>
            <w:pPr>
              <w:spacing w:line="440" w:lineRule="exact"/>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Merge w:val="continue"/>
            <w:noWrap w:val="0"/>
            <w:vAlign w:val="center"/>
          </w:tcPr>
          <w:p>
            <w:pPr>
              <w:spacing w:line="440" w:lineRule="exact"/>
              <w:jc w:val="center"/>
              <w:rPr>
                <w:rFonts w:ascii="宋体"/>
                <w:color w:val="auto"/>
                <w:sz w:val="24"/>
              </w:rPr>
            </w:pPr>
          </w:p>
        </w:tc>
        <w:tc>
          <w:tcPr>
            <w:tcW w:w="3019" w:type="dxa"/>
            <w:vMerge w:val="continue"/>
            <w:noWrap w:val="0"/>
            <w:vAlign w:val="center"/>
          </w:tcPr>
          <w:p>
            <w:pPr>
              <w:spacing w:line="440" w:lineRule="exact"/>
              <w:jc w:val="center"/>
              <w:rPr>
                <w:rFonts w:ascii="宋体"/>
                <w:color w:val="auto"/>
                <w:sz w:val="24"/>
              </w:rPr>
            </w:pPr>
          </w:p>
        </w:tc>
        <w:tc>
          <w:tcPr>
            <w:tcW w:w="1877" w:type="dxa"/>
            <w:noWrap w:val="0"/>
            <w:vAlign w:val="center"/>
          </w:tcPr>
          <w:p>
            <w:pPr>
              <w:spacing w:line="440" w:lineRule="exact"/>
              <w:jc w:val="center"/>
              <w:rPr>
                <w:rFonts w:ascii="宋体"/>
                <w:color w:val="auto"/>
                <w:sz w:val="24"/>
              </w:rPr>
            </w:pPr>
            <w:r>
              <w:rPr>
                <w:rFonts w:hint="eastAsia" w:ascii="宋体" w:hAnsi="宋体"/>
                <w:color w:val="auto"/>
                <w:sz w:val="24"/>
              </w:rPr>
              <w:t>航宇（国标）</w:t>
            </w:r>
          </w:p>
        </w:tc>
        <w:tc>
          <w:tcPr>
            <w:tcW w:w="1812" w:type="dxa"/>
            <w:noWrap w:val="0"/>
            <w:vAlign w:val="center"/>
          </w:tcPr>
          <w:p>
            <w:pPr>
              <w:spacing w:line="440" w:lineRule="exact"/>
              <w:jc w:val="center"/>
              <w:rPr>
                <w:rFonts w:ascii="宋体"/>
                <w:color w:val="auto"/>
                <w:sz w:val="24"/>
              </w:rPr>
            </w:pPr>
            <w:r>
              <w:rPr>
                <w:rFonts w:hint="eastAsia" w:ascii="宋体"/>
                <w:color w:val="auto"/>
                <w:sz w:val="24"/>
              </w:rPr>
              <w:t>185</w:t>
            </w:r>
          </w:p>
        </w:tc>
        <w:tc>
          <w:tcPr>
            <w:tcW w:w="1812" w:type="dxa"/>
            <w:noWrap w:val="0"/>
            <w:vAlign w:val="center"/>
          </w:tcPr>
          <w:p>
            <w:pPr>
              <w:spacing w:line="440" w:lineRule="exact"/>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Merge w:val="restart"/>
            <w:noWrap w:val="0"/>
            <w:vAlign w:val="center"/>
          </w:tcPr>
          <w:p>
            <w:pPr>
              <w:spacing w:line="440" w:lineRule="exact"/>
              <w:jc w:val="center"/>
              <w:rPr>
                <w:rFonts w:ascii="宋体" w:hAnsi="宋体"/>
                <w:color w:val="auto"/>
                <w:sz w:val="24"/>
              </w:rPr>
            </w:pPr>
            <w:r>
              <w:rPr>
                <w:rFonts w:ascii="宋体" w:hAnsi="宋体"/>
                <w:color w:val="auto"/>
                <w:sz w:val="24"/>
              </w:rPr>
              <w:t>3</w:t>
            </w:r>
          </w:p>
        </w:tc>
        <w:tc>
          <w:tcPr>
            <w:tcW w:w="3019" w:type="dxa"/>
            <w:vMerge w:val="restart"/>
            <w:noWrap w:val="0"/>
            <w:vAlign w:val="center"/>
          </w:tcPr>
          <w:p>
            <w:pPr>
              <w:spacing w:line="440" w:lineRule="exact"/>
              <w:jc w:val="center"/>
              <w:rPr>
                <w:rFonts w:ascii="宋体"/>
                <w:color w:val="auto"/>
                <w:sz w:val="24"/>
              </w:rPr>
            </w:pPr>
            <w:r>
              <w:rPr>
                <w:rFonts w:hint="eastAsia" w:ascii="宋体" w:hAnsi="宋体"/>
                <w:color w:val="auto"/>
                <w:sz w:val="24"/>
              </w:rPr>
              <w:t>空气终端（个）</w:t>
            </w:r>
          </w:p>
        </w:tc>
        <w:tc>
          <w:tcPr>
            <w:tcW w:w="1877" w:type="dxa"/>
            <w:noWrap w:val="0"/>
            <w:vAlign w:val="center"/>
          </w:tcPr>
          <w:p>
            <w:pPr>
              <w:spacing w:line="440" w:lineRule="exact"/>
              <w:jc w:val="center"/>
              <w:rPr>
                <w:rFonts w:ascii="宋体"/>
                <w:color w:val="auto"/>
                <w:sz w:val="24"/>
              </w:rPr>
            </w:pPr>
            <w:r>
              <w:rPr>
                <w:rFonts w:hint="eastAsia" w:ascii="宋体" w:hAnsi="宋体"/>
                <w:color w:val="auto"/>
                <w:sz w:val="24"/>
              </w:rPr>
              <w:t>捷锐（德标）</w:t>
            </w:r>
          </w:p>
        </w:tc>
        <w:tc>
          <w:tcPr>
            <w:tcW w:w="1812" w:type="dxa"/>
            <w:noWrap w:val="0"/>
            <w:vAlign w:val="center"/>
          </w:tcPr>
          <w:p>
            <w:pPr>
              <w:spacing w:line="440" w:lineRule="exact"/>
              <w:jc w:val="center"/>
              <w:rPr>
                <w:rFonts w:ascii="宋体"/>
                <w:color w:val="auto"/>
                <w:sz w:val="24"/>
              </w:rPr>
            </w:pPr>
            <w:r>
              <w:rPr>
                <w:rFonts w:hint="eastAsia" w:ascii="宋体"/>
                <w:color w:val="auto"/>
                <w:sz w:val="24"/>
              </w:rPr>
              <w:t>480</w:t>
            </w:r>
          </w:p>
        </w:tc>
        <w:tc>
          <w:tcPr>
            <w:tcW w:w="1812" w:type="dxa"/>
            <w:noWrap w:val="0"/>
            <w:vAlign w:val="center"/>
          </w:tcPr>
          <w:p>
            <w:pPr>
              <w:spacing w:line="440" w:lineRule="exact"/>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Merge w:val="continue"/>
            <w:noWrap w:val="0"/>
            <w:vAlign w:val="center"/>
          </w:tcPr>
          <w:p>
            <w:pPr>
              <w:spacing w:line="440" w:lineRule="exact"/>
              <w:jc w:val="center"/>
              <w:rPr>
                <w:rFonts w:ascii="宋体"/>
                <w:color w:val="auto"/>
                <w:sz w:val="24"/>
              </w:rPr>
            </w:pPr>
          </w:p>
        </w:tc>
        <w:tc>
          <w:tcPr>
            <w:tcW w:w="3019" w:type="dxa"/>
            <w:vMerge w:val="continue"/>
            <w:noWrap w:val="0"/>
            <w:vAlign w:val="center"/>
          </w:tcPr>
          <w:p>
            <w:pPr>
              <w:spacing w:line="440" w:lineRule="exact"/>
              <w:jc w:val="center"/>
              <w:rPr>
                <w:rFonts w:ascii="宋体"/>
                <w:color w:val="auto"/>
                <w:sz w:val="24"/>
              </w:rPr>
            </w:pPr>
          </w:p>
        </w:tc>
        <w:tc>
          <w:tcPr>
            <w:tcW w:w="1877" w:type="dxa"/>
            <w:noWrap w:val="0"/>
            <w:vAlign w:val="center"/>
          </w:tcPr>
          <w:p>
            <w:pPr>
              <w:spacing w:line="440" w:lineRule="exact"/>
              <w:jc w:val="center"/>
              <w:rPr>
                <w:rFonts w:ascii="宋体"/>
                <w:color w:val="auto"/>
                <w:sz w:val="24"/>
              </w:rPr>
            </w:pPr>
            <w:r>
              <w:rPr>
                <w:rFonts w:hint="eastAsia" w:ascii="宋体" w:hAnsi="宋体"/>
                <w:color w:val="auto"/>
                <w:sz w:val="24"/>
              </w:rPr>
              <w:t>航宇（国标）</w:t>
            </w:r>
          </w:p>
        </w:tc>
        <w:tc>
          <w:tcPr>
            <w:tcW w:w="1812" w:type="dxa"/>
            <w:noWrap w:val="0"/>
            <w:vAlign w:val="center"/>
          </w:tcPr>
          <w:p>
            <w:pPr>
              <w:spacing w:line="440" w:lineRule="exact"/>
              <w:jc w:val="center"/>
              <w:rPr>
                <w:rFonts w:ascii="宋体"/>
                <w:color w:val="auto"/>
                <w:sz w:val="24"/>
              </w:rPr>
            </w:pPr>
            <w:r>
              <w:rPr>
                <w:rFonts w:hint="eastAsia" w:ascii="宋体"/>
                <w:color w:val="auto"/>
                <w:sz w:val="24"/>
              </w:rPr>
              <w:t>185</w:t>
            </w:r>
          </w:p>
        </w:tc>
        <w:tc>
          <w:tcPr>
            <w:tcW w:w="1812" w:type="dxa"/>
            <w:noWrap w:val="0"/>
            <w:vAlign w:val="center"/>
          </w:tcPr>
          <w:p>
            <w:pPr>
              <w:spacing w:line="440" w:lineRule="exact"/>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Merge w:val="restart"/>
            <w:noWrap w:val="0"/>
            <w:vAlign w:val="center"/>
          </w:tcPr>
          <w:p>
            <w:pPr>
              <w:spacing w:line="440" w:lineRule="exact"/>
              <w:jc w:val="center"/>
              <w:rPr>
                <w:rFonts w:ascii="宋体" w:hAnsi="宋体"/>
                <w:color w:val="auto"/>
                <w:sz w:val="24"/>
              </w:rPr>
            </w:pPr>
            <w:r>
              <w:rPr>
                <w:rFonts w:ascii="宋体" w:hAnsi="宋体"/>
                <w:color w:val="auto"/>
                <w:sz w:val="24"/>
              </w:rPr>
              <w:t>4</w:t>
            </w:r>
          </w:p>
        </w:tc>
        <w:tc>
          <w:tcPr>
            <w:tcW w:w="3019" w:type="dxa"/>
            <w:vMerge w:val="restart"/>
            <w:noWrap w:val="0"/>
            <w:vAlign w:val="center"/>
          </w:tcPr>
          <w:p>
            <w:pPr>
              <w:spacing w:line="440" w:lineRule="exact"/>
              <w:jc w:val="center"/>
              <w:rPr>
                <w:rFonts w:ascii="宋体"/>
                <w:color w:val="auto"/>
                <w:sz w:val="24"/>
              </w:rPr>
            </w:pPr>
            <w:r>
              <w:rPr>
                <w:rFonts w:hint="eastAsia" w:ascii="宋体" w:hAnsi="宋体"/>
                <w:color w:val="auto"/>
                <w:sz w:val="24"/>
              </w:rPr>
              <w:t>对讲分机（个）</w:t>
            </w:r>
          </w:p>
        </w:tc>
        <w:tc>
          <w:tcPr>
            <w:tcW w:w="1877" w:type="dxa"/>
            <w:noWrap w:val="0"/>
            <w:vAlign w:val="center"/>
          </w:tcPr>
          <w:p>
            <w:pPr>
              <w:spacing w:line="440" w:lineRule="exact"/>
              <w:jc w:val="center"/>
              <w:rPr>
                <w:rFonts w:ascii="宋体"/>
                <w:color w:val="auto"/>
                <w:sz w:val="24"/>
              </w:rPr>
            </w:pPr>
            <w:r>
              <w:rPr>
                <w:rFonts w:hint="eastAsia" w:ascii="宋体" w:hAnsi="宋体"/>
                <w:color w:val="auto"/>
                <w:sz w:val="24"/>
              </w:rPr>
              <w:t>深圳鑫旭佳</w:t>
            </w:r>
          </w:p>
        </w:tc>
        <w:tc>
          <w:tcPr>
            <w:tcW w:w="1812" w:type="dxa"/>
            <w:noWrap w:val="0"/>
            <w:vAlign w:val="center"/>
          </w:tcPr>
          <w:p>
            <w:pPr>
              <w:spacing w:line="440" w:lineRule="exact"/>
              <w:jc w:val="center"/>
              <w:rPr>
                <w:rFonts w:ascii="宋体"/>
                <w:color w:val="auto"/>
                <w:sz w:val="24"/>
              </w:rPr>
            </w:pPr>
            <w:r>
              <w:rPr>
                <w:rFonts w:hint="eastAsia" w:ascii="宋体"/>
                <w:color w:val="auto"/>
                <w:sz w:val="24"/>
              </w:rPr>
              <w:t>1</w:t>
            </w:r>
            <w:r>
              <w:rPr>
                <w:rFonts w:hint="eastAsia" w:ascii="宋体"/>
                <w:color w:val="auto"/>
                <w:sz w:val="24"/>
                <w:lang w:val="en-US" w:eastAsia="zh-CN"/>
              </w:rPr>
              <w:t>8</w:t>
            </w:r>
            <w:r>
              <w:rPr>
                <w:rFonts w:hint="eastAsia" w:ascii="宋体"/>
                <w:color w:val="auto"/>
                <w:sz w:val="24"/>
              </w:rPr>
              <w:t>5</w:t>
            </w:r>
          </w:p>
        </w:tc>
        <w:tc>
          <w:tcPr>
            <w:tcW w:w="1812" w:type="dxa"/>
            <w:noWrap w:val="0"/>
            <w:vAlign w:val="center"/>
          </w:tcPr>
          <w:p>
            <w:pPr>
              <w:spacing w:line="440" w:lineRule="exact"/>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Merge w:val="continue"/>
            <w:noWrap w:val="0"/>
            <w:vAlign w:val="center"/>
          </w:tcPr>
          <w:p>
            <w:pPr>
              <w:spacing w:line="440" w:lineRule="exact"/>
              <w:jc w:val="center"/>
              <w:rPr>
                <w:rFonts w:ascii="宋体"/>
                <w:color w:val="auto"/>
                <w:sz w:val="24"/>
              </w:rPr>
            </w:pPr>
          </w:p>
        </w:tc>
        <w:tc>
          <w:tcPr>
            <w:tcW w:w="3019" w:type="dxa"/>
            <w:vMerge w:val="continue"/>
            <w:noWrap w:val="0"/>
            <w:vAlign w:val="center"/>
          </w:tcPr>
          <w:p>
            <w:pPr>
              <w:spacing w:line="440" w:lineRule="exact"/>
              <w:jc w:val="center"/>
              <w:rPr>
                <w:rFonts w:ascii="宋体"/>
                <w:color w:val="auto"/>
                <w:sz w:val="24"/>
              </w:rPr>
            </w:pPr>
          </w:p>
        </w:tc>
        <w:tc>
          <w:tcPr>
            <w:tcW w:w="1877" w:type="dxa"/>
            <w:noWrap w:val="0"/>
            <w:vAlign w:val="center"/>
          </w:tcPr>
          <w:p>
            <w:pPr>
              <w:spacing w:line="440" w:lineRule="exact"/>
              <w:jc w:val="center"/>
              <w:rPr>
                <w:rFonts w:ascii="宋体"/>
                <w:color w:val="auto"/>
                <w:sz w:val="24"/>
              </w:rPr>
            </w:pPr>
            <w:r>
              <w:rPr>
                <w:rFonts w:hint="eastAsia" w:ascii="宋体" w:hAnsi="宋体"/>
                <w:color w:val="auto"/>
                <w:sz w:val="24"/>
              </w:rPr>
              <w:t>湖南一特</w:t>
            </w:r>
          </w:p>
        </w:tc>
        <w:tc>
          <w:tcPr>
            <w:tcW w:w="1812" w:type="dxa"/>
            <w:noWrap w:val="0"/>
            <w:vAlign w:val="center"/>
          </w:tcPr>
          <w:p>
            <w:pPr>
              <w:spacing w:line="440" w:lineRule="exact"/>
              <w:jc w:val="center"/>
              <w:rPr>
                <w:rFonts w:ascii="宋体"/>
                <w:color w:val="auto"/>
                <w:sz w:val="24"/>
              </w:rPr>
            </w:pPr>
            <w:r>
              <w:rPr>
                <w:rFonts w:hint="eastAsia" w:ascii="宋体"/>
                <w:color w:val="auto"/>
                <w:sz w:val="24"/>
              </w:rPr>
              <w:t>1</w:t>
            </w:r>
            <w:r>
              <w:rPr>
                <w:rFonts w:hint="eastAsia" w:ascii="宋体"/>
                <w:color w:val="auto"/>
                <w:sz w:val="24"/>
                <w:lang w:val="en-US" w:eastAsia="zh-CN"/>
              </w:rPr>
              <w:t>8</w:t>
            </w:r>
            <w:r>
              <w:rPr>
                <w:rFonts w:hint="eastAsia" w:ascii="宋体"/>
                <w:color w:val="auto"/>
                <w:sz w:val="24"/>
              </w:rPr>
              <w:t>5</w:t>
            </w:r>
          </w:p>
        </w:tc>
        <w:tc>
          <w:tcPr>
            <w:tcW w:w="1812" w:type="dxa"/>
            <w:noWrap w:val="0"/>
            <w:vAlign w:val="center"/>
          </w:tcPr>
          <w:p>
            <w:pPr>
              <w:spacing w:line="440" w:lineRule="exact"/>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Merge w:val="restart"/>
            <w:noWrap w:val="0"/>
            <w:vAlign w:val="center"/>
          </w:tcPr>
          <w:p>
            <w:pPr>
              <w:spacing w:line="440" w:lineRule="exact"/>
              <w:jc w:val="center"/>
              <w:rPr>
                <w:rFonts w:ascii="宋体" w:hAnsi="宋体"/>
                <w:color w:val="auto"/>
                <w:sz w:val="24"/>
              </w:rPr>
            </w:pPr>
            <w:r>
              <w:rPr>
                <w:rFonts w:ascii="宋体" w:hAnsi="宋体"/>
                <w:color w:val="auto"/>
                <w:sz w:val="24"/>
              </w:rPr>
              <w:t>5</w:t>
            </w:r>
          </w:p>
        </w:tc>
        <w:tc>
          <w:tcPr>
            <w:tcW w:w="3019" w:type="dxa"/>
            <w:vMerge w:val="restart"/>
            <w:noWrap w:val="0"/>
            <w:vAlign w:val="center"/>
          </w:tcPr>
          <w:p>
            <w:pPr>
              <w:spacing w:line="440" w:lineRule="exact"/>
              <w:jc w:val="center"/>
              <w:rPr>
                <w:rFonts w:ascii="宋体"/>
                <w:color w:val="auto"/>
                <w:sz w:val="24"/>
              </w:rPr>
            </w:pPr>
            <w:bookmarkStart w:id="5" w:name="OLE_LINK2"/>
            <w:bookmarkStart w:id="6" w:name="OLE_LINK1"/>
            <w:r>
              <w:rPr>
                <w:rFonts w:hint="eastAsia" w:ascii="宋体" w:hAnsi="宋体"/>
                <w:color w:val="auto"/>
                <w:sz w:val="24"/>
              </w:rPr>
              <w:t>医用对讲主机</w:t>
            </w:r>
            <w:bookmarkEnd w:id="5"/>
            <w:bookmarkEnd w:id="6"/>
            <w:r>
              <w:rPr>
                <w:rFonts w:hint="eastAsia" w:ascii="宋体" w:hAnsi="宋体"/>
                <w:color w:val="auto"/>
                <w:sz w:val="24"/>
              </w:rPr>
              <w:t>，规格</w:t>
            </w:r>
            <w:r>
              <w:rPr>
                <w:rFonts w:ascii="宋体" w:hAnsi="宋体"/>
                <w:color w:val="auto"/>
                <w:sz w:val="24"/>
              </w:rPr>
              <w:t>60</w:t>
            </w:r>
            <w:r>
              <w:rPr>
                <w:rFonts w:hint="eastAsia" w:ascii="宋体" w:hAnsi="宋体"/>
                <w:color w:val="auto"/>
                <w:sz w:val="24"/>
              </w:rPr>
              <w:t>位（台）</w:t>
            </w:r>
          </w:p>
        </w:tc>
        <w:tc>
          <w:tcPr>
            <w:tcW w:w="1877" w:type="dxa"/>
            <w:noWrap w:val="0"/>
            <w:vAlign w:val="center"/>
          </w:tcPr>
          <w:p>
            <w:pPr>
              <w:spacing w:line="440" w:lineRule="exact"/>
              <w:jc w:val="center"/>
              <w:rPr>
                <w:rFonts w:ascii="宋体"/>
                <w:color w:val="auto"/>
                <w:sz w:val="24"/>
              </w:rPr>
            </w:pPr>
            <w:r>
              <w:rPr>
                <w:rFonts w:hint="eastAsia" w:ascii="宋体" w:hAnsi="宋体"/>
                <w:color w:val="auto"/>
                <w:sz w:val="24"/>
              </w:rPr>
              <w:t>深圳鑫旭佳</w:t>
            </w:r>
          </w:p>
        </w:tc>
        <w:tc>
          <w:tcPr>
            <w:tcW w:w="1812" w:type="dxa"/>
            <w:noWrap w:val="0"/>
            <w:vAlign w:val="center"/>
          </w:tcPr>
          <w:p>
            <w:pPr>
              <w:spacing w:line="440" w:lineRule="exact"/>
              <w:jc w:val="center"/>
              <w:rPr>
                <w:rFonts w:ascii="宋体"/>
                <w:color w:val="auto"/>
                <w:sz w:val="24"/>
              </w:rPr>
            </w:pPr>
            <w:r>
              <w:rPr>
                <w:rFonts w:hint="eastAsia" w:ascii="宋体"/>
                <w:color w:val="auto"/>
                <w:sz w:val="24"/>
              </w:rPr>
              <w:t>4800</w:t>
            </w:r>
          </w:p>
        </w:tc>
        <w:tc>
          <w:tcPr>
            <w:tcW w:w="1812" w:type="dxa"/>
            <w:noWrap w:val="0"/>
            <w:vAlign w:val="center"/>
          </w:tcPr>
          <w:p>
            <w:pPr>
              <w:spacing w:line="440" w:lineRule="exact"/>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Merge w:val="continue"/>
            <w:noWrap w:val="0"/>
            <w:vAlign w:val="center"/>
          </w:tcPr>
          <w:p>
            <w:pPr>
              <w:spacing w:line="440" w:lineRule="exact"/>
              <w:jc w:val="center"/>
              <w:rPr>
                <w:rFonts w:ascii="宋体"/>
                <w:color w:val="auto"/>
                <w:sz w:val="24"/>
              </w:rPr>
            </w:pPr>
          </w:p>
        </w:tc>
        <w:tc>
          <w:tcPr>
            <w:tcW w:w="3019" w:type="dxa"/>
            <w:vMerge w:val="continue"/>
            <w:noWrap w:val="0"/>
            <w:vAlign w:val="center"/>
          </w:tcPr>
          <w:p>
            <w:pPr>
              <w:spacing w:line="440" w:lineRule="exact"/>
              <w:jc w:val="center"/>
              <w:rPr>
                <w:rFonts w:ascii="宋体"/>
                <w:color w:val="auto"/>
                <w:sz w:val="24"/>
              </w:rPr>
            </w:pPr>
          </w:p>
        </w:tc>
        <w:tc>
          <w:tcPr>
            <w:tcW w:w="1877" w:type="dxa"/>
            <w:noWrap w:val="0"/>
            <w:vAlign w:val="center"/>
          </w:tcPr>
          <w:p>
            <w:pPr>
              <w:spacing w:line="440" w:lineRule="exact"/>
              <w:jc w:val="center"/>
              <w:rPr>
                <w:rFonts w:ascii="宋体"/>
                <w:color w:val="auto"/>
                <w:sz w:val="24"/>
              </w:rPr>
            </w:pPr>
            <w:r>
              <w:rPr>
                <w:rFonts w:hint="eastAsia" w:ascii="宋体" w:hAnsi="宋体"/>
                <w:color w:val="auto"/>
                <w:sz w:val="24"/>
              </w:rPr>
              <w:t>湖南一特</w:t>
            </w:r>
          </w:p>
        </w:tc>
        <w:tc>
          <w:tcPr>
            <w:tcW w:w="1812" w:type="dxa"/>
            <w:noWrap w:val="0"/>
            <w:vAlign w:val="center"/>
          </w:tcPr>
          <w:p>
            <w:pPr>
              <w:spacing w:line="440" w:lineRule="exact"/>
              <w:jc w:val="center"/>
              <w:rPr>
                <w:rFonts w:ascii="宋体"/>
                <w:color w:val="auto"/>
                <w:sz w:val="24"/>
              </w:rPr>
            </w:pPr>
            <w:r>
              <w:rPr>
                <w:rFonts w:hint="eastAsia" w:ascii="宋体"/>
                <w:color w:val="auto"/>
                <w:sz w:val="24"/>
              </w:rPr>
              <w:t>6200</w:t>
            </w:r>
          </w:p>
        </w:tc>
        <w:tc>
          <w:tcPr>
            <w:tcW w:w="1812" w:type="dxa"/>
            <w:noWrap w:val="0"/>
            <w:vAlign w:val="center"/>
          </w:tcPr>
          <w:p>
            <w:pPr>
              <w:spacing w:line="440" w:lineRule="exact"/>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Merge w:val="restart"/>
            <w:noWrap w:val="0"/>
            <w:vAlign w:val="center"/>
          </w:tcPr>
          <w:p>
            <w:pPr>
              <w:spacing w:line="440" w:lineRule="exact"/>
              <w:jc w:val="center"/>
              <w:rPr>
                <w:rFonts w:ascii="宋体" w:hAnsi="宋体"/>
                <w:color w:val="auto"/>
                <w:sz w:val="24"/>
              </w:rPr>
            </w:pPr>
            <w:r>
              <w:rPr>
                <w:rFonts w:ascii="宋体" w:hAnsi="宋体"/>
                <w:color w:val="auto"/>
                <w:sz w:val="24"/>
              </w:rPr>
              <w:t>6</w:t>
            </w:r>
          </w:p>
        </w:tc>
        <w:tc>
          <w:tcPr>
            <w:tcW w:w="3019" w:type="dxa"/>
            <w:vMerge w:val="restart"/>
            <w:noWrap w:val="0"/>
            <w:vAlign w:val="center"/>
          </w:tcPr>
          <w:p>
            <w:pPr>
              <w:spacing w:line="440" w:lineRule="exact"/>
              <w:jc w:val="center"/>
              <w:rPr>
                <w:rFonts w:ascii="宋体"/>
                <w:color w:val="auto"/>
                <w:sz w:val="24"/>
              </w:rPr>
            </w:pPr>
            <w:r>
              <w:rPr>
                <w:rFonts w:hint="eastAsia" w:ascii="宋体" w:hAnsi="宋体"/>
                <w:color w:val="auto"/>
                <w:sz w:val="24"/>
              </w:rPr>
              <w:t>医用对讲主机，规格</w:t>
            </w:r>
            <w:r>
              <w:rPr>
                <w:rFonts w:ascii="宋体" w:hAnsi="宋体"/>
                <w:color w:val="auto"/>
                <w:sz w:val="24"/>
              </w:rPr>
              <w:t>80</w:t>
            </w:r>
            <w:r>
              <w:rPr>
                <w:rFonts w:hint="eastAsia" w:ascii="宋体" w:hAnsi="宋体"/>
                <w:color w:val="auto"/>
                <w:sz w:val="24"/>
              </w:rPr>
              <w:t>位（台）</w:t>
            </w:r>
          </w:p>
        </w:tc>
        <w:tc>
          <w:tcPr>
            <w:tcW w:w="1877" w:type="dxa"/>
            <w:noWrap w:val="0"/>
            <w:vAlign w:val="center"/>
          </w:tcPr>
          <w:p>
            <w:pPr>
              <w:spacing w:line="440" w:lineRule="exact"/>
              <w:jc w:val="center"/>
              <w:rPr>
                <w:rFonts w:ascii="宋体"/>
                <w:color w:val="auto"/>
                <w:sz w:val="24"/>
              </w:rPr>
            </w:pPr>
            <w:r>
              <w:rPr>
                <w:rFonts w:hint="eastAsia" w:ascii="宋体" w:hAnsi="宋体"/>
                <w:color w:val="auto"/>
                <w:sz w:val="24"/>
              </w:rPr>
              <w:t>深圳鑫旭佳</w:t>
            </w:r>
          </w:p>
        </w:tc>
        <w:tc>
          <w:tcPr>
            <w:tcW w:w="1812" w:type="dxa"/>
            <w:noWrap w:val="0"/>
            <w:vAlign w:val="center"/>
          </w:tcPr>
          <w:p>
            <w:pPr>
              <w:spacing w:line="440" w:lineRule="exact"/>
              <w:jc w:val="center"/>
              <w:rPr>
                <w:rFonts w:ascii="宋体"/>
                <w:color w:val="auto"/>
                <w:sz w:val="24"/>
              </w:rPr>
            </w:pPr>
            <w:r>
              <w:rPr>
                <w:rFonts w:hint="eastAsia" w:ascii="宋体"/>
                <w:color w:val="auto"/>
                <w:sz w:val="24"/>
              </w:rPr>
              <w:t>5700</w:t>
            </w:r>
          </w:p>
        </w:tc>
        <w:tc>
          <w:tcPr>
            <w:tcW w:w="1812" w:type="dxa"/>
            <w:noWrap w:val="0"/>
            <w:vAlign w:val="center"/>
          </w:tcPr>
          <w:p>
            <w:pPr>
              <w:spacing w:line="440" w:lineRule="exact"/>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Merge w:val="continue"/>
            <w:noWrap w:val="0"/>
            <w:vAlign w:val="center"/>
          </w:tcPr>
          <w:p>
            <w:pPr>
              <w:spacing w:line="440" w:lineRule="exact"/>
              <w:jc w:val="center"/>
              <w:rPr>
                <w:rFonts w:ascii="宋体"/>
                <w:color w:val="auto"/>
                <w:sz w:val="24"/>
              </w:rPr>
            </w:pPr>
          </w:p>
        </w:tc>
        <w:tc>
          <w:tcPr>
            <w:tcW w:w="3019" w:type="dxa"/>
            <w:vMerge w:val="continue"/>
            <w:noWrap w:val="0"/>
            <w:vAlign w:val="center"/>
          </w:tcPr>
          <w:p>
            <w:pPr>
              <w:spacing w:line="440" w:lineRule="exact"/>
              <w:jc w:val="center"/>
              <w:rPr>
                <w:rFonts w:ascii="宋体"/>
                <w:color w:val="auto"/>
                <w:sz w:val="24"/>
              </w:rPr>
            </w:pPr>
          </w:p>
        </w:tc>
        <w:tc>
          <w:tcPr>
            <w:tcW w:w="1877" w:type="dxa"/>
            <w:noWrap w:val="0"/>
            <w:vAlign w:val="center"/>
          </w:tcPr>
          <w:p>
            <w:pPr>
              <w:spacing w:line="440" w:lineRule="exact"/>
              <w:jc w:val="center"/>
              <w:rPr>
                <w:rFonts w:ascii="宋体"/>
                <w:color w:val="auto"/>
                <w:sz w:val="24"/>
              </w:rPr>
            </w:pPr>
            <w:r>
              <w:rPr>
                <w:rFonts w:hint="eastAsia" w:ascii="宋体" w:hAnsi="宋体"/>
                <w:color w:val="auto"/>
                <w:sz w:val="24"/>
              </w:rPr>
              <w:t>湖南一特</w:t>
            </w:r>
          </w:p>
        </w:tc>
        <w:tc>
          <w:tcPr>
            <w:tcW w:w="1812" w:type="dxa"/>
            <w:noWrap w:val="0"/>
            <w:vAlign w:val="center"/>
          </w:tcPr>
          <w:p>
            <w:pPr>
              <w:spacing w:line="440" w:lineRule="exact"/>
              <w:jc w:val="center"/>
              <w:rPr>
                <w:rFonts w:ascii="宋体"/>
                <w:color w:val="auto"/>
                <w:sz w:val="24"/>
              </w:rPr>
            </w:pPr>
            <w:r>
              <w:rPr>
                <w:rFonts w:hint="eastAsia" w:ascii="宋体"/>
                <w:color w:val="auto"/>
                <w:sz w:val="24"/>
              </w:rPr>
              <w:t>8200</w:t>
            </w:r>
          </w:p>
        </w:tc>
        <w:tc>
          <w:tcPr>
            <w:tcW w:w="1812" w:type="dxa"/>
            <w:noWrap w:val="0"/>
            <w:vAlign w:val="center"/>
          </w:tcPr>
          <w:p>
            <w:pPr>
              <w:spacing w:line="440" w:lineRule="exact"/>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Merge w:val="restart"/>
            <w:noWrap w:val="0"/>
            <w:vAlign w:val="center"/>
          </w:tcPr>
          <w:p>
            <w:pPr>
              <w:spacing w:line="440" w:lineRule="exact"/>
              <w:jc w:val="center"/>
              <w:rPr>
                <w:rFonts w:ascii="宋体" w:hAnsi="宋体"/>
                <w:color w:val="auto"/>
                <w:sz w:val="24"/>
              </w:rPr>
            </w:pPr>
            <w:r>
              <w:rPr>
                <w:rFonts w:ascii="宋体" w:hAnsi="宋体"/>
                <w:color w:val="auto"/>
                <w:sz w:val="24"/>
              </w:rPr>
              <w:t>7</w:t>
            </w:r>
          </w:p>
        </w:tc>
        <w:tc>
          <w:tcPr>
            <w:tcW w:w="3019" w:type="dxa"/>
            <w:vMerge w:val="restart"/>
            <w:noWrap w:val="0"/>
            <w:vAlign w:val="center"/>
          </w:tcPr>
          <w:p>
            <w:pPr>
              <w:spacing w:line="440" w:lineRule="exact"/>
              <w:jc w:val="center"/>
              <w:rPr>
                <w:rFonts w:ascii="宋体"/>
                <w:color w:val="auto"/>
                <w:sz w:val="24"/>
              </w:rPr>
            </w:pPr>
            <w:r>
              <w:rPr>
                <w:rFonts w:hint="eastAsia" w:ascii="宋体" w:hAnsi="宋体"/>
                <w:color w:val="auto"/>
                <w:sz w:val="24"/>
              </w:rPr>
              <w:t>双面时钟床号显示屏（台）</w:t>
            </w:r>
          </w:p>
        </w:tc>
        <w:tc>
          <w:tcPr>
            <w:tcW w:w="1877" w:type="dxa"/>
            <w:noWrap w:val="0"/>
            <w:vAlign w:val="center"/>
          </w:tcPr>
          <w:p>
            <w:pPr>
              <w:spacing w:line="440" w:lineRule="exact"/>
              <w:jc w:val="center"/>
              <w:rPr>
                <w:rFonts w:ascii="宋体"/>
                <w:color w:val="auto"/>
                <w:sz w:val="24"/>
              </w:rPr>
            </w:pPr>
            <w:r>
              <w:rPr>
                <w:rFonts w:hint="eastAsia" w:ascii="宋体" w:hAnsi="宋体"/>
                <w:color w:val="auto"/>
                <w:sz w:val="24"/>
              </w:rPr>
              <w:t>深圳鑫旭佳</w:t>
            </w:r>
          </w:p>
        </w:tc>
        <w:tc>
          <w:tcPr>
            <w:tcW w:w="1812" w:type="dxa"/>
            <w:noWrap w:val="0"/>
            <w:vAlign w:val="center"/>
          </w:tcPr>
          <w:p>
            <w:pPr>
              <w:spacing w:line="440" w:lineRule="exact"/>
              <w:jc w:val="center"/>
              <w:rPr>
                <w:rFonts w:hint="eastAsia" w:ascii="宋体"/>
                <w:color w:val="auto"/>
                <w:sz w:val="24"/>
              </w:rPr>
            </w:pPr>
            <w:r>
              <w:rPr>
                <w:rFonts w:hint="eastAsia" w:ascii="宋体"/>
                <w:color w:val="auto"/>
                <w:sz w:val="24"/>
              </w:rPr>
              <w:t>1480</w:t>
            </w:r>
          </w:p>
        </w:tc>
        <w:tc>
          <w:tcPr>
            <w:tcW w:w="1812" w:type="dxa"/>
            <w:noWrap w:val="0"/>
            <w:vAlign w:val="center"/>
          </w:tcPr>
          <w:p>
            <w:pPr>
              <w:spacing w:line="440" w:lineRule="exact"/>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Merge w:val="continue"/>
            <w:noWrap w:val="0"/>
            <w:vAlign w:val="center"/>
          </w:tcPr>
          <w:p>
            <w:pPr>
              <w:spacing w:line="440" w:lineRule="exact"/>
              <w:jc w:val="center"/>
              <w:rPr>
                <w:rFonts w:ascii="宋体"/>
                <w:color w:val="auto"/>
                <w:sz w:val="24"/>
              </w:rPr>
            </w:pPr>
          </w:p>
        </w:tc>
        <w:tc>
          <w:tcPr>
            <w:tcW w:w="3019" w:type="dxa"/>
            <w:vMerge w:val="continue"/>
            <w:noWrap w:val="0"/>
            <w:vAlign w:val="center"/>
          </w:tcPr>
          <w:p>
            <w:pPr>
              <w:spacing w:line="440" w:lineRule="exact"/>
              <w:jc w:val="center"/>
              <w:rPr>
                <w:rFonts w:ascii="宋体"/>
                <w:color w:val="auto"/>
                <w:sz w:val="24"/>
              </w:rPr>
            </w:pPr>
          </w:p>
        </w:tc>
        <w:tc>
          <w:tcPr>
            <w:tcW w:w="1877" w:type="dxa"/>
            <w:noWrap w:val="0"/>
            <w:vAlign w:val="center"/>
          </w:tcPr>
          <w:p>
            <w:pPr>
              <w:spacing w:line="440" w:lineRule="exact"/>
              <w:jc w:val="center"/>
              <w:rPr>
                <w:rFonts w:ascii="宋体"/>
                <w:color w:val="auto"/>
                <w:sz w:val="24"/>
              </w:rPr>
            </w:pPr>
            <w:r>
              <w:rPr>
                <w:rFonts w:hint="eastAsia" w:ascii="宋体" w:hAnsi="宋体"/>
                <w:color w:val="auto"/>
                <w:sz w:val="24"/>
              </w:rPr>
              <w:t>湖南一特</w:t>
            </w:r>
          </w:p>
        </w:tc>
        <w:tc>
          <w:tcPr>
            <w:tcW w:w="1812" w:type="dxa"/>
            <w:noWrap w:val="0"/>
            <w:vAlign w:val="center"/>
          </w:tcPr>
          <w:p>
            <w:pPr>
              <w:spacing w:line="440" w:lineRule="exact"/>
              <w:jc w:val="center"/>
              <w:rPr>
                <w:rFonts w:ascii="宋体"/>
                <w:color w:val="auto"/>
                <w:sz w:val="24"/>
              </w:rPr>
            </w:pPr>
            <w:r>
              <w:rPr>
                <w:rFonts w:hint="eastAsia" w:ascii="宋体"/>
                <w:color w:val="auto"/>
                <w:sz w:val="24"/>
              </w:rPr>
              <w:t>1550</w:t>
            </w:r>
          </w:p>
        </w:tc>
        <w:tc>
          <w:tcPr>
            <w:tcW w:w="1812" w:type="dxa"/>
            <w:noWrap w:val="0"/>
            <w:vAlign w:val="center"/>
          </w:tcPr>
          <w:p>
            <w:pPr>
              <w:spacing w:line="440" w:lineRule="exact"/>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Merge w:val="restart"/>
            <w:noWrap w:val="0"/>
            <w:vAlign w:val="center"/>
          </w:tcPr>
          <w:p>
            <w:pPr>
              <w:spacing w:line="440" w:lineRule="exact"/>
              <w:jc w:val="center"/>
              <w:rPr>
                <w:rFonts w:ascii="宋体" w:hAnsi="宋体"/>
                <w:color w:val="auto"/>
                <w:sz w:val="24"/>
              </w:rPr>
            </w:pPr>
            <w:r>
              <w:rPr>
                <w:rFonts w:ascii="宋体" w:hAnsi="宋体"/>
                <w:color w:val="auto"/>
                <w:sz w:val="24"/>
              </w:rPr>
              <w:t>8</w:t>
            </w:r>
          </w:p>
        </w:tc>
        <w:tc>
          <w:tcPr>
            <w:tcW w:w="3019" w:type="dxa"/>
            <w:vMerge w:val="restart"/>
            <w:noWrap w:val="0"/>
            <w:vAlign w:val="center"/>
          </w:tcPr>
          <w:p>
            <w:pPr>
              <w:spacing w:line="440" w:lineRule="exact"/>
              <w:jc w:val="center"/>
              <w:rPr>
                <w:rFonts w:ascii="宋体"/>
                <w:color w:val="auto"/>
                <w:sz w:val="24"/>
              </w:rPr>
            </w:pPr>
            <w:r>
              <w:rPr>
                <w:rFonts w:hint="eastAsia" w:ascii="宋体" w:hAnsi="宋体"/>
                <w:color w:val="auto"/>
                <w:sz w:val="24"/>
              </w:rPr>
              <w:t>医用紫铜管Φ</w:t>
            </w:r>
            <w:r>
              <w:rPr>
                <w:rFonts w:ascii="宋体" w:hAnsi="宋体"/>
                <w:color w:val="auto"/>
                <w:sz w:val="24"/>
              </w:rPr>
              <w:t>8</w:t>
            </w:r>
            <w:r>
              <w:rPr>
                <w:rFonts w:hint="eastAsia" w:ascii="宋体" w:hAnsi="宋体"/>
                <w:color w:val="auto"/>
                <w:sz w:val="24"/>
              </w:rPr>
              <w:t>（米）</w:t>
            </w:r>
          </w:p>
        </w:tc>
        <w:tc>
          <w:tcPr>
            <w:tcW w:w="1877" w:type="dxa"/>
            <w:noWrap w:val="0"/>
            <w:vAlign w:val="center"/>
          </w:tcPr>
          <w:p>
            <w:pPr>
              <w:spacing w:line="440" w:lineRule="exact"/>
              <w:jc w:val="center"/>
              <w:rPr>
                <w:rFonts w:ascii="宋体"/>
                <w:color w:val="auto"/>
                <w:sz w:val="24"/>
              </w:rPr>
            </w:pPr>
            <w:r>
              <w:rPr>
                <w:rFonts w:hint="eastAsia" w:ascii="宋体" w:hAnsi="宋体"/>
                <w:color w:val="auto"/>
                <w:sz w:val="24"/>
              </w:rPr>
              <w:t>华鸿</w:t>
            </w:r>
          </w:p>
        </w:tc>
        <w:tc>
          <w:tcPr>
            <w:tcW w:w="1812" w:type="dxa"/>
            <w:noWrap w:val="0"/>
            <w:vAlign w:val="center"/>
          </w:tcPr>
          <w:p>
            <w:pPr>
              <w:spacing w:line="440" w:lineRule="exact"/>
              <w:jc w:val="center"/>
              <w:rPr>
                <w:rFonts w:ascii="宋体"/>
                <w:color w:val="auto"/>
                <w:sz w:val="24"/>
              </w:rPr>
            </w:pPr>
            <w:r>
              <w:rPr>
                <w:rFonts w:hint="eastAsia" w:ascii="宋体"/>
                <w:color w:val="auto"/>
                <w:sz w:val="24"/>
              </w:rPr>
              <w:t>46</w:t>
            </w:r>
          </w:p>
        </w:tc>
        <w:tc>
          <w:tcPr>
            <w:tcW w:w="1812" w:type="dxa"/>
            <w:noWrap w:val="0"/>
            <w:vAlign w:val="center"/>
          </w:tcPr>
          <w:p>
            <w:pPr>
              <w:spacing w:line="440" w:lineRule="exact"/>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Merge w:val="continue"/>
            <w:noWrap w:val="0"/>
            <w:vAlign w:val="center"/>
          </w:tcPr>
          <w:p>
            <w:pPr>
              <w:spacing w:line="440" w:lineRule="exact"/>
              <w:jc w:val="center"/>
              <w:rPr>
                <w:rFonts w:ascii="宋体"/>
                <w:color w:val="auto"/>
                <w:sz w:val="24"/>
              </w:rPr>
            </w:pPr>
          </w:p>
        </w:tc>
        <w:tc>
          <w:tcPr>
            <w:tcW w:w="3019" w:type="dxa"/>
            <w:vMerge w:val="continue"/>
            <w:noWrap w:val="0"/>
            <w:vAlign w:val="center"/>
          </w:tcPr>
          <w:p>
            <w:pPr>
              <w:spacing w:line="440" w:lineRule="exact"/>
              <w:jc w:val="center"/>
              <w:rPr>
                <w:rFonts w:ascii="宋体"/>
                <w:color w:val="auto"/>
                <w:sz w:val="24"/>
              </w:rPr>
            </w:pPr>
          </w:p>
        </w:tc>
        <w:tc>
          <w:tcPr>
            <w:tcW w:w="1877" w:type="dxa"/>
            <w:noWrap w:val="0"/>
            <w:vAlign w:val="center"/>
          </w:tcPr>
          <w:p>
            <w:pPr>
              <w:spacing w:line="440" w:lineRule="exact"/>
              <w:jc w:val="center"/>
              <w:rPr>
                <w:rFonts w:ascii="宋体"/>
                <w:color w:val="auto"/>
                <w:sz w:val="24"/>
              </w:rPr>
            </w:pPr>
            <w:r>
              <w:rPr>
                <w:rFonts w:hint="eastAsia" w:ascii="宋体" w:hAnsi="宋体"/>
                <w:color w:val="auto"/>
                <w:sz w:val="24"/>
              </w:rPr>
              <w:t>青岛宏泰</w:t>
            </w:r>
          </w:p>
        </w:tc>
        <w:tc>
          <w:tcPr>
            <w:tcW w:w="1812" w:type="dxa"/>
            <w:noWrap w:val="0"/>
            <w:vAlign w:val="center"/>
          </w:tcPr>
          <w:p>
            <w:pPr>
              <w:spacing w:line="440" w:lineRule="exact"/>
              <w:jc w:val="center"/>
              <w:rPr>
                <w:rFonts w:ascii="宋体"/>
                <w:color w:val="auto"/>
                <w:sz w:val="24"/>
              </w:rPr>
            </w:pPr>
            <w:r>
              <w:rPr>
                <w:rFonts w:hint="eastAsia" w:ascii="宋体"/>
                <w:color w:val="auto"/>
                <w:sz w:val="24"/>
              </w:rPr>
              <w:t>45</w:t>
            </w:r>
          </w:p>
        </w:tc>
        <w:tc>
          <w:tcPr>
            <w:tcW w:w="1812" w:type="dxa"/>
            <w:noWrap w:val="0"/>
            <w:vAlign w:val="center"/>
          </w:tcPr>
          <w:p>
            <w:pPr>
              <w:spacing w:line="440" w:lineRule="exact"/>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Merge w:val="restart"/>
            <w:noWrap w:val="0"/>
            <w:vAlign w:val="center"/>
          </w:tcPr>
          <w:p>
            <w:pPr>
              <w:spacing w:line="440" w:lineRule="exact"/>
              <w:jc w:val="center"/>
              <w:rPr>
                <w:rFonts w:ascii="宋体" w:hAnsi="宋体"/>
                <w:color w:val="auto"/>
                <w:sz w:val="24"/>
              </w:rPr>
            </w:pPr>
            <w:r>
              <w:rPr>
                <w:rFonts w:ascii="宋体" w:hAnsi="宋体"/>
                <w:color w:val="auto"/>
                <w:sz w:val="24"/>
              </w:rPr>
              <w:t>9</w:t>
            </w:r>
          </w:p>
        </w:tc>
        <w:tc>
          <w:tcPr>
            <w:tcW w:w="3019" w:type="dxa"/>
            <w:vMerge w:val="restart"/>
            <w:noWrap w:val="0"/>
            <w:vAlign w:val="center"/>
          </w:tcPr>
          <w:p>
            <w:pPr>
              <w:spacing w:line="440" w:lineRule="exact"/>
              <w:jc w:val="center"/>
              <w:rPr>
                <w:rFonts w:ascii="宋体"/>
                <w:color w:val="auto"/>
                <w:sz w:val="24"/>
              </w:rPr>
            </w:pPr>
            <w:r>
              <w:rPr>
                <w:rFonts w:hint="eastAsia" w:ascii="宋体" w:hAnsi="宋体"/>
                <w:color w:val="auto"/>
                <w:sz w:val="24"/>
              </w:rPr>
              <w:t>医用紫铜管Φ</w:t>
            </w:r>
            <w:r>
              <w:rPr>
                <w:rFonts w:ascii="宋体" w:hAnsi="宋体"/>
                <w:color w:val="auto"/>
                <w:sz w:val="24"/>
              </w:rPr>
              <w:t>10</w:t>
            </w:r>
            <w:r>
              <w:rPr>
                <w:rFonts w:hint="eastAsia" w:ascii="宋体" w:hAnsi="宋体"/>
                <w:color w:val="auto"/>
                <w:sz w:val="24"/>
              </w:rPr>
              <w:t>（米）</w:t>
            </w:r>
          </w:p>
        </w:tc>
        <w:tc>
          <w:tcPr>
            <w:tcW w:w="1877" w:type="dxa"/>
            <w:noWrap w:val="0"/>
            <w:vAlign w:val="center"/>
          </w:tcPr>
          <w:p>
            <w:pPr>
              <w:spacing w:line="440" w:lineRule="exact"/>
              <w:jc w:val="center"/>
              <w:rPr>
                <w:rFonts w:ascii="宋体"/>
                <w:color w:val="auto"/>
                <w:sz w:val="24"/>
              </w:rPr>
            </w:pPr>
            <w:r>
              <w:rPr>
                <w:rFonts w:hint="eastAsia" w:ascii="宋体" w:hAnsi="宋体"/>
                <w:color w:val="auto"/>
                <w:sz w:val="24"/>
              </w:rPr>
              <w:t>华鸿</w:t>
            </w:r>
          </w:p>
        </w:tc>
        <w:tc>
          <w:tcPr>
            <w:tcW w:w="1812" w:type="dxa"/>
            <w:noWrap w:val="0"/>
            <w:vAlign w:val="center"/>
          </w:tcPr>
          <w:p>
            <w:pPr>
              <w:spacing w:line="440" w:lineRule="exact"/>
              <w:jc w:val="center"/>
              <w:rPr>
                <w:rFonts w:ascii="宋体"/>
                <w:color w:val="auto"/>
                <w:sz w:val="24"/>
              </w:rPr>
            </w:pPr>
            <w:r>
              <w:rPr>
                <w:rFonts w:hint="eastAsia" w:ascii="宋体"/>
                <w:color w:val="auto"/>
                <w:sz w:val="24"/>
              </w:rPr>
              <w:t>52</w:t>
            </w:r>
          </w:p>
        </w:tc>
        <w:tc>
          <w:tcPr>
            <w:tcW w:w="1812" w:type="dxa"/>
            <w:noWrap w:val="0"/>
            <w:vAlign w:val="center"/>
          </w:tcPr>
          <w:p>
            <w:pPr>
              <w:spacing w:line="440" w:lineRule="exact"/>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Merge w:val="continue"/>
            <w:noWrap w:val="0"/>
            <w:vAlign w:val="center"/>
          </w:tcPr>
          <w:p>
            <w:pPr>
              <w:spacing w:line="440" w:lineRule="exact"/>
              <w:jc w:val="center"/>
              <w:rPr>
                <w:rFonts w:ascii="宋体"/>
                <w:color w:val="auto"/>
                <w:sz w:val="24"/>
              </w:rPr>
            </w:pPr>
          </w:p>
        </w:tc>
        <w:tc>
          <w:tcPr>
            <w:tcW w:w="3019" w:type="dxa"/>
            <w:vMerge w:val="continue"/>
            <w:noWrap w:val="0"/>
            <w:vAlign w:val="center"/>
          </w:tcPr>
          <w:p>
            <w:pPr>
              <w:spacing w:line="440" w:lineRule="exact"/>
              <w:jc w:val="center"/>
              <w:rPr>
                <w:rFonts w:ascii="宋体"/>
                <w:color w:val="auto"/>
                <w:sz w:val="24"/>
              </w:rPr>
            </w:pPr>
          </w:p>
        </w:tc>
        <w:tc>
          <w:tcPr>
            <w:tcW w:w="1877" w:type="dxa"/>
            <w:noWrap w:val="0"/>
            <w:vAlign w:val="center"/>
          </w:tcPr>
          <w:p>
            <w:pPr>
              <w:spacing w:line="440" w:lineRule="exact"/>
              <w:jc w:val="center"/>
              <w:rPr>
                <w:rFonts w:ascii="宋体"/>
                <w:color w:val="auto"/>
                <w:sz w:val="24"/>
              </w:rPr>
            </w:pPr>
            <w:r>
              <w:rPr>
                <w:rFonts w:hint="eastAsia" w:ascii="宋体" w:hAnsi="宋体"/>
                <w:color w:val="auto"/>
                <w:sz w:val="24"/>
              </w:rPr>
              <w:t>青岛宏泰</w:t>
            </w:r>
          </w:p>
        </w:tc>
        <w:tc>
          <w:tcPr>
            <w:tcW w:w="1812" w:type="dxa"/>
            <w:noWrap w:val="0"/>
            <w:vAlign w:val="center"/>
          </w:tcPr>
          <w:p>
            <w:pPr>
              <w:spacing w:line="440" w:lineRule="exact"/>
              <w:jc w:val="center"/>
              <w:rPr>
                <w:rFonts w:ascii="宋体"/>
                <w:color w:val="auto"/>
                <w:sz w:val="24"/>
              </w:rPr>
            </w:pPr>
            <w:r>
              <w:rPr>
                <w:rFonts w:hint="eastAsia" w:ascii="宋体"/>
                <w:color w:val="auto"/>
                <w:sz w:val="24"/>
              </w:rPr>
              <w:t>50</w:t>
            </w:r>
          </w:p>
        </w:tc>
        <w:tc>
          <w:tcPr>
            <w:tcW w:w="1812" w:type="dxa"/>
            <w:noWrap w:val="0"/>
            <w:vAlign w:val="center"/>
          </w:tcPr>
          <w:p>
            <w:pPr>
              <w:spacing w:line="440" w:lineRule="exact"/>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Merge w:val="restart"/>
            <w:noWrap w:val="0"/>
            <w:vAlign w:val="center"/>
          </w:tcPr>
          <w:p>
            <w:pPr>
              <w:spacing w:line="440" w:lineRule="exact"/>
              <w:jc w:val="center"/>
              <w:rPr>
                <w:rFonts w:ascii="宋体" w:hAnsi="宋体"/>
                <w:color w:val="auto"/>
                <w:sz w:val="24"/>
              </w:rPr>
            </w:pPr>
            <w:r>
              <w:rPr>
                <w:rFonts w:ascii="宋体" w:hAnsi="宋体"/>
                <w:color w:val="auto"/>
                <w:sz w:val="24"/>
              </w:rPr>
              <w:t>10</w:t>
            </w:r>
          </w:p>
        </w:tc>
        <w:tc>
          <w:tcPr>
            <w:tcW w:w="3019" w:type="dxa"/>
            <w:vMerge w:val="restart"/>
            <w:noWrap w:val="0"/>
            <w:vAlign w:val="center"/>
          </w:tcPr>
          <w:p>
            <w:pPr>
              <w:spacing w:line="440" w:lineRule="exact"/>
              <w:jc w:val="center"/>
              <w:rPr>
                <w:rFonts w:ascii="宋体"/>
                <w:color w:val="auto"/>
                <w:sz w:val="24"/>
              </w:rPr>
            </w:pPr>
            <w:r>
              <w:rPr>
                <w:rFonts w:hint="eastAsia" w:ascii="宋体" w:hAnsi="宋体"/>
                <w:color w:val="auto"/>
                <w:sz w:val="24"/>
              </w:rPr>
              <w:t>医用紫铜管Φ</w:t>
            </w:r>
            <w:r>
              <w:rPr>
                <w:rFonts w:ascii="宋体" w:hAnsi="宋体"/>
                <w:color w:val="auto"/>
                <w:sz w:val="24"/>
              </w:rPr>
              <w:t>12</w:t>
            </w:r>
            <w:r>
              <w:rPr>
                <w:rFonts w:hint="eastAsia" w:ascii="宋体" w:hAnsi="宋体"/>
                <w:color w:val="auto"/>
                <w:sz w:val="24"/>
              </w:rPr>
              <w:t>（米）</w:t>
            </w:r>
          </w:p>
        </w:tc>
        <w:tc>
          <w:tcPr>
            <w:tcW w:w="1877" w:type="dxa"/>
            <w:noWrap w:val="0"/>
            <w:vAlign w:val="center"/>
          </w:tcPr>
          <w:p>
            <w:pPr>
              <w:spacing w:line="440" w:lineRule="exact"/>
              <w:jc w:val="center"/>
              <w:rPr>
                <w:rFonts w:ascii="宋体"/>
                <w:color w:val="auto"/>
                <w:sz w:val="24"/>
              </w:rPr>
            </w:pPr>
            <w:r>
              <w:rPr>
                <w:rFonts w:hint="eastAsia" w:ascii="宋体" w:hAnsi="宋体"/>
                <w:color w:val="auto"/>
                <w:sz w:val="24"/>
              </w:rPr>
              <w:t>华鸿</w:t>
            </w:r>
          </w:p>
        </w:tc>
        <w:tc>
          <w:tcPr>
            <w:tcW w:w="1812" w:type="dxa"/>
            <w:noWrap w:val="0"/>
            <w:vAlign w:val="center"/>
          </w:tcPr>
          <w:p>
            <w:pPr>
              <w:spacing w:line="440" w:lineRule="exact"/>
              <w:jc w:val="center"/>
              <w:rPr>
                <w:rFonts w:ascii="宋体"/>
                <w:color w:val="auto"/>
                <w:sz w:val="24"/>
              </w:rPr>
            </w:pPr>
            <w:r>
              <w:rPr>
                <w:rFonts w:hint="eastAsia" w:ascii="宋体"/>
                <w:color w:val="auto"/>
                <w:sz w:val="24"/>
              </w:rPr>
              <w:t>62.5</w:t>
            </w:r>
          </w:p>
        </w:tc>
        <w:tc>
          <w:tcPr>
            <w:tcW w:w="1812" w:type="dxa"/>
            <w:noWrap w:val="0"/>
            <w:vAlign w:val="center"/>
          </w:tcPr>
          <w:p>
            <w:pPr>
              <w:spacing w:line="440" w:lineRule="exact"/>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Merge w:val="continue"/>
            <w:noWrap w:val="0"/>
            <w:vAlign w:val="center"/>
          </w:tcPr>
          <w:p>
            <w:pPr>
              <w:spacing w:line="440" w:lineRule="exact"/>
              <w:jc w:val="center"/>
              <w:rPr>
                <w:rFonts w:ascii="宋体"/>
                <w:color w:val="auto"/>
                <w:sz w:val="24"/>
              </w:rPr>
            </w:pPr>
          </w:p>
        </w:tc>
        <w:tc>
          <w:tcPr>
            <w:tcW w:w="3019" w:type="dxa"/>
            <w:vMerge w:val="continue"/>
            <w:noWrap w:val="0"/>
            <w:vAlign w:val="center"/>
          </w:tcPr>
          <w:p>
            <w:pPr>
              <w:spacing w:line="440" w:lineRule="exact"/>
              <w:jc w:val="center"/>
              <w:rPr>
                <w:rFonts w:ascii="宋体"/>
                <w:color w:val="auto"/>
                <w:sz w:val="24"/>
              </w:rPr>
            </w:pPr>
          </w:p>
        </w:tc>
        <w:tc>
          <w:tcPr>
            <w:tcW w:w="1877" w:type="dxa"/>
            <w:noWrap w:val="0"/>
            <w:vAlign w:val="center"/>
          </w:tcPr>
          <w:p>
            <w:pPr>
              <w:spacing w:line="440" w:lineRule="exact"/>
              <w:jc w:val="center"/>
              <w:rPr>
                <w:rFonts w:ascii="宋体"/>
                <w:color w:val="auto"/>
                <w:sz w:val="24"/>
              </w:rPr>
            </w:pPr>
            <w:r>
              <w:rPr>
                <w:rFonts w:hint="eastAsia" w:ascii="宋体" w:hAnsi="宋体"/>
                <w:color w:val="auto"/>
                <w:sz w:val="24"/>
              </w:rPr>
              <w:t>青岛宏泰</w:t>
            </w:r>
          </w:p>
        </w:tc>
        <w:tc>
          <w:tcPr>
            <w:tcW w:w="1812" w:type="dxa"/>
            <w:noWrap w:val="0"/>
            <w:vAlign w:val="center"/>
          </w:tcPr>
          <w:p>
            <w:pPr>
              <w:spacing w:line="440" w:lineRule="exact"/>
              <w:jc w:val="center"/>
              <w:rPr>
                <w:rFonts w:ascii="宋体"/>
                <w:color w:val="auto"/>
                <w:sz w:val="24"/>
              </w:rPr>
            </w:pPr>
            <w:r>
              <w:rPr>
                <w:rFonts w:hint="eastAsia" w:ascii="宋体"/>
                <w:color w:val="auto"/>
                <w:sz w:val="24"/>
              </w:rPr>
              <w:t>60</w:t>
            </w:r>
          </w:p>
        </w:tc>
        <w:tc>
          <w:tcPr>
            <w:tcW w:w="1812" w:type="dxa"/>
            <w:noWrap w:val="0"/>
            <w:vAlign w:val="center"/>
          </w:tcPr>
          <w:p>
            <w:pPr>
              <w:spacing w:line="440" w:lineRule="exact"/>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Merge w:val="restart"/>
            <w:noWrap w:val="0"/>
            <w:vAlign w:val="center"/>
          </w:tcPr>
          <w:p>
            <w:pPr>
              <w:spacing w:line="440" w:lineRule="exact"/>
              <w:jc w:val="center"/>
              <w:rPr>
                <w:rFonts w:ascii="宋体" w:hAnsi="宋体"/>
                <w:color w:val="auto"/>
                <w:sz w:val="24"/>
              </w:rPr>
            </w:pPr>
            <w:r>
              <w:rPr>
                <w:rFonts w:ascii="宋体" w:hAnsi="宋体"/>
                <w:color w:val="auto"/>
                <w:sz w:val="24"/>
              </w:rPr>
              <w:t>11</w:t>
            </w:r>
          </w:p>
        </w:tc>
        <w:tc>
          <w:tcPr>
            <w:tcW w:w="3019" w:type="dxa"/>
            <w:vMerge w:val="restart"/>
            <w:noWrap w:val="0"/>
            <w:vAlign w:val="center"/>
          </w:tcPr>
          <w:p>
            <w:pPr>
              <w:spacing w:line="440" w:lineRule="exact"/>
              <w:jc w:val="center"/>
              <w:rPr>
                <w:rFonts w:ascii="宋体"/>
                <w:color w:val="auto"/>
                <w:sz w:val="24"/>
              </w:rPr>
            </w:pPr>
            <w:r>
              <w:rPr>
                <w:rFonts w:hint="eastAsia" w:ascii="宋体" w:hAnsi="宋体"/>
                <w:color w:val="auto"/>
                <w:sz w:val="24"/>
              </w:rPr>
              <w:t>医用紫铜管Φ</w:t>
            </w:r>
            <w:r>
              <w:rPr>
                <w:rFonts w:ascii="宋体" w:hAnsi="宋体"/>
                <w:color w:val="auto"/>
                <w:sz w:val="24"/>
              </w:rPr>
              <w:t>16</w:t>
            </w:r>
            <w:r>
              <w:rPr>
                <w:rFonts w:hint="eastAsia" w:ascii="宋体" w:hAnsi="宋体"/>
                <w:color w:val="auto"/>
                <w:sz w:val="24"/>
              </w:rPr>
              <w:t>（米）</w:t>
            </w:r>
          </w:p>
        </w:tc>
        <w:tc>
          <w:tcPr>
            <w:tcW w:w="1877" w:type="dxa"/>
            <w:noWrap w:val="0"/>
            <w:vAlign w:val="center"/>
          </w:tcPr>
          <w:p>
            <w:pPr>
              <w:spacing w:line="440" w:lineRule="exact"/>
              <w:jc w:val="center"/>
              <w:rPr>
                <w:rFonts w:ascii="宋体"/>
                <w:color w:val="auto"/>
                <w:sz w:val="24"/>
              </w:rPr>
            </w:pPr>
            <w:r>
              <w:rPr>
                <w:rFonts w:hint="eastAsia" w:ascii="宋体" w:hAnsi="宋体"/>
                <w:color w:val="auto"/>
                <w:sz w:val="24"/>
              </w:rPr>
              <w:t>华鸿</w:t>
            </w:r>
          </w:p>
        </w:tc>
        <w:tc>
          <w:tcPr>
            <w:tcW w:w="1812" w:type="dxa"/>
            <w:noWrap w:val="0"/>
            <w:vAlign w:val="center"/>
          </w:tcPr>
          <w:p>
            <w:pPr>
              <w:spacing w:line="440" w:lineRule="exact"/>
              <w:jc w:val="center"/>
              <w:rPr>
                <w:rFonts w:ascii="宋体"/>
                <w:color w:val="auto"/>
                <w:sz w:val="24"/>
              </w:rPr>
            </w:pPr>
            <w:r>
              <w:rPr>
                <w:rFonts w:hint="eastAsia" w:ascii="宋体"/>
                <w:color w:val="auto"/>
                <w:sz w:val="24"/>
              </w:rPr>
              <w:t>68</w:t>
            </w:r>
          </w:p>
        </w:tc>
        <w:tc>
          <w:tcPr>
            <w:tcW w:w="1812" w:type="dxa"/>
            <w:noWrap w:val="0"/>
            <w:vAlign w:val="center"/>
          </w:tcPr>
          <w:p>
            <w:pPr>
              <w:spacing w:line="440" w:lineRule="exact"/>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Merge w:val="continue"/>
            <w:noWrap w:val="0"/>
            <w:vAlign w:val="center"/>
          </w:tcPr>
          <w:p>
            <w:pPr>
              <w:spacing w:line="440" w:lineRule="exact"/>
              <w:jc w:val="center"/>
              <w:rPr>
                <w:rFonts w:ascii="宋体"/>
                <w:color w:val="auto"/>
                <w:sz w:val="24"/>
              </w:rPr>
            </w:pPr>
          </w:p>
        </w:tc>
        <w:tc>
          <w:tcPr>
            <w:tcW w:w="3019" w:type="dxa"/>
            <w:vMerge w:val="continue"/>
            <w:noWrap w:val="0"/>
            <w:vAlign w:val="center"/>
          </w:tcPr>
          <w:p>
            <w:pPr>
              <w:spacing w:line="440" w:lineRule="exact"/>
              <w:jc w:val="center"/>
              <w:rPr>
                <w:rFonts w:ascii="宋体"/>
                <w:color w:val="auto"/>
                <w:sz w:val="24"/>
              </w:rPr>
            </w:pPr>
          </w:p>
        </w:tc>
        <w:tc>
          <w:tcPr>
            <w:tcW w:w="1877" w:type="dxa"/>
            <w:noWrap w:val="0"/>
            <w:vAlign w:val="center"/>
          </w:tcPr>
          <w:p>
            <w:pPr>
              <w:spacing w:line="440" w:lineRule="exact"/>
              <w:jc w:val="center"/>
              <w:rPr>
                <w:rFonts w:ascii="宋体"/>
                <w:color w:val="auto"/>
                <w:sz w:val="24"/>
              </w:rPr>
            </w:pPr>
            <w:r>
              <w:rPr>
                <w:rFonts w:hint="eastAsia" w:ascii="宋体" w:hAnsi="宋体"/>
                <w:color w:val="auto"/>
                <w:sz w:val="24"/>
              </w:rPr>
              <w:t>青岛宏泰</w:t>
            </w:r>
          </w:p>
        </w:tc>
        <w:tc>
          <w:tcPr>
            <w:tcW w:w="1812" w:type="dxa"/>
            <w:noWrap w:val="0"/>
            <w:vAlign w:val="center"/>
          </w:tcPr>
          <w:p>
            <w:pPr>
              <w:spacing w:line="440" w:lineRule="exact"/>
              <w:jc w:val="center"/>
              <w:rPr>
                <w:rFonts w:ascii="宋体"/>
                <w:color w:val="auto"/>
                <w:sz w:val="24"/>
              </w:rPr>
            </w:pPr>
            <w:r>
              <w:rPr>
                <w:rFonts w:hint="eastAsia" w:ascii="宋体"/>
                <w:color w:val="auto"/>
                <w:sz w:val="24"/>
              </w:rPr>
              <w:t>66</w:t>
            </w:r>
          </w:p>
        </w:tc>
        <w:tc>
          <w:tcPr>
            <w:tcW w:w="1812" w:type="dxa"/>
            <w:noWrap w:val="0"/>
            <w:vAlign w:val="center"/>
          </w:tcPr>
          <w:p>
            <w:pPr>
              <w:spacing w:line="440" w:lineRule="exact"/>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Merge w:val="restart"/>
            <w:noWrap w:val="0"/>
            <w:vAlign w:val="center"/>
          </w:tcPr>
          <w:p>
            <w:pPr>
              <w:spacing w:line="440" w:lineRule="exact"/>
              <w:jc w:val="center"/>
              <w:rPr>
                <w:rFonts w:ascii="宋体" w:hAnsi="宋体"/>
                <w:color w:val="auto"/>
                <w:sz w:val="24"/>
              </w:rPr>
            </w:pPr>
            <w:r>
              <w:rPr>
                <w:rFonts w:ascii="宋体" w:hAnsi="宋体"/>
                <w:color w:val="auto"/>
                <w:sz w:val="24"/>
              </w:rPr>
              <w:t>12</w:t>
            </w:r>
          </w:p>
        </w:tc>
        <w:tc>
          <w:tcPr>
            <w:tcW w:w="3019" w:type="dxa"/>
            <w:vMerge w:val="restart"/>
            <w:noWrap w:val="0"/>
            <w:vAlign w:val="center"/>
          </w:tcPr>
          <w:p>
            <w:pPr>
              <w:spacing w:line="440" w:lineRule="exact"/>
              <w:jc w:val="center"/>
              <w:rPr>
                <w:rFonts w:ascii="宋体" w:hAnsi="宋体"/>
                <w:color w:val="auto"/>
                <w:sz w:val="24"/>
              </w:rPr>
            </w:pPr>
            <w:r>
              <w:rPr>
                <w:rFonts w:hint="eastAsia" w:ascii="宋体" w:hAnsi="宋体"/>
                <w:color w:val="auto"/>
                <w:sz w:val="24"/>
              </w:rPr>
              <w:t>专用维修阀</w:t>
            </w:r>
            <w:r>
              <w:rPr>
                <w:rFonts w:ascii="宋体" w:hAnsi="宋体"/>
                <w:color w:val="auto"/>
                <w:sz w:val="24"/>
              </w:rPr>
              <w:t>DN4</w:t>
            </w:r>
          </w:p>
        </w:tc>
        <w:tc>
          <w:tcPr>
            <w:tcW w:w="1877" w:type="dxa"/>
            <w:noWrap w:val="0"/>
            <w:vAlign w:val="center"/>
          </w:tcPr>
          <w:p>
            <w:pPr>
              <w:spacing w:line="440" w:lineRule="exact"/>
              <w:jc w:val="center"/>
              <w:rPr>
                <w:rFonts w:ascii="宋体"/>
                <w:color w:val="auto"/>
                <w:sz w:val="24"/>
              </w:rPr>
            </w:pPr>
            <w:r>
              <w:rPr>
                <w:rFonts w:hint="eastAsia" w:ascii="宋体" w:hAnsi="宋体"/>
                <w:color w:val="auto"/>
                <w:sz w:val="24"/>
              </w:rPr>
              <w:t>航宇</w:t>
            </w:r>
          </w:p>
        </w:tc>
        <w:tc>
          <w:tcPr>
            <w:tcW w:w="1812" w:type="dxa"/>
            <w:noWrap w:val="0"/>
            <w:vAlign w:val="center"/>
          </w:tcPr>
          <w:p>
            <w:pPr>
              <w:spacing w:line="440" w:lineRule="exact"/>
              <w:jc w:val="center"/>
              <w:rPr>
                <w:rFonts w:ascii="宋体"/>
                <w:color w:val="auto"/>
                <w:sz w:val="24"/>
              </w:rPr>
            </w:pPr>
            <w:r>
              <w:rPr>
                <w:rFonts w:hint="eastAsia" w:ascii="宋体"/>
                <w:color w:val="auto"/>
                <w:sz w:val="24"/>
              </w:rPr>
              <w:t>126</w:t>
            </w:r>
          </w:p>
        </w:tc>
        <w:tc>
          <w:tcPr>
            <w:tcW w:w="1812" w:type="dxa"/>
            <w:noWrap w:val="0"/>
            <w:vAlign w:val="center"/>
          </w:tcPr>
          <w:p>
            <w:pPr>
              <w:spacing w:line="440" w:lineRule="exact"/>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vMerge w:val="continue"/>
            <w:noWrap w:val="0"/>
            <w:vAlign w:val="center"/>
          </w:tcPr>
          <w:p>
            <w:pPr>
              <w:spacing w:line="440" w:lineRule="exact"/>
              <w:jc w:val="center"/>
              <w:rPr>
                <w:rFonts w:ascii="宋体"/>
                <w:color w:val="auto"/>
                <w:sz w:val="24"/>
              </w:rPr>
            </w:pPr>
          </w:p>
        </w:tc>
        <w:tc>
          <w:tcPr>
            <w:tcW w:w="3019" w:type="dxa"/>
            <w:vMerge w:val="continue"/>
            <w:noWrap w:val="0"/>
            <w:vAlign w:val="center"/>
          </w:tcPr>
          <w:p>
            <w:pPr>
              <w:spacing w:line="440" w:lineRule="exact"/>
              <w:jc w:val="center"/>
              <w:rPr>
                <w:rFonts w:ascii="宋体"/>
                <w:color w:val="auto"/>
                <w:sz w:val="24"/>
              </w:rPr>
            </w:pPr>
          </w:p>
        </w:tc>
        <w:tc>
          <w:tcPr>
            <w:tcW w:w="1877" w:type="dxa"/>
            <w:noWrap w:val="0"/>
            <w:vAlign w:val="center"/>
          </w:tcPr>
          <w:p>
            <w:pPr>
              <w:spacing w:line="440" w:lineRule="exact"/>
              <w:jc w:val="center"/>
              <w:rPr>
                <w:rFonts w:ascii="宋体"/>
                <w:color w:val="auto"/>
                <w:sz w:val="24"/>
              </w:rPr>
            </w:pPr>
            <w:r>
              <w:rPr>
                <w:rFonts w:hint="eastAsia" w:ascii="宋体" w:hAnsi="宋体"/>
                <w:color w:val="auto"/>
                <w:sz w:val="24"/>
              </w:rPr>
              <w:t>宇峰</w:t>
            </w:r>
          </w:p>
        </w:tc>
        <w:tc>
          <w:tcPr>
            <w:tcW w:w="1812" w:type="dxa"/>
            <w:noWrap w:val="0"/>
            <w:vAlign w:val="center"/>
          </w:tcPr>
          <w:p>
            <w:pPr>
              <w:spacing w:line="440" w:lineRule="exact"/>
              <w:jc w:val="center"/>
              <w:rPr>
                <w:rFonts w:ascii="宋体"/>
                <w:color w:val="auto"/>
                <w:sz w:val="24"/>
              </w:rPr>
            </w:pPr>
            <w:r>
              <w:rPr>
                <w:rFonts w:hint="eastAsia" w:ascii="宋体"/>
                <w:color w:val="auto"/>
                <w:sz w:val="24"/>
              </w:rPr>
              <w:t>128</w:t>
            </w:r>
          </w:p>
        </w:tc>
        <w:tc>
          <w:tcPr>
            <w:tcW w:w="1812" w:type="dxa"/>
            <w:noWrap w:val="0"/>
            <w:vAlign w:val="center"/>
          </w:tcPr>
          <w:p>
            <w:pPr>
              <w:spacing w:line="440" w:lineRule="exact"/>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Merge w:val="restart"/>
            <w:noWrap w:val="0"/>
            <w:vAlign w:val="center"/>
          </w:tcPr>
          <w:p>
            <w:pPr>
              <w:spacing w:line="440" w:lineRule="exact"/>
              <w:jc w:val="center"/>
              <w:rPr>
                <w:rFonts w:ascii="宋体" w:hAnsi="宋体"/>
                <w:color w:val="auto"/>
                <w:sz w:val="24"/>
              </w:rPr>
            </w:pPr>
            <w:r>
              <w:rPr>
                <w:rFonts w:ascii="宋体" w:hAnsi="宋体"/>
                <w:color w:val="auto"/>
                <w:sz w:val="24"/>
              </w:rPr>
              <w:t>13</w:t>
            </w:r>
          </w:p>
        </w:tc>
        <w:tc>
          <w:tcPr>
            <w:tcW w:w="3019" w:type="dxa"/>
            <w:vMerge w:val="restart"/>
            <w:noWrap w:val="0"/>
            <w:vAlign w:val="center"/>
          </w:tcPr>
          <w:p>
            <w:pPr>
              <w:spacing w:line="440" w:lineRule="exact"/>
              <w:jc w:val="center"/>
              <w:rPr>
                <w:rFonts w:ascii="宋体"/>
                <w:color w:val="auto"/>
                <w:sz w:val="24"/>
              </w:rPr>
            </w:pPr>
            <w:r>
              <w:rPr>
                <w:rFonts w:hint="eastAsia" w:ascii="宋体" w:hAnsi="宋体"/>
                <w:color w:val="auto"/>
                <w:sz w:val="24"/>
              </w:rPr>
              <w:t>设备带盒（米）</w:t>
            </w:r>
          </w:p>
        </w:tc>
        <w:tc>
          <w:tcPr>
            <w:tcW w:w="1877" w:type="dxa"/>
            <w:noWrap w:val="0"/>
            <w:vAlign w:val="center"/>
          </w:tcPr>
          <w:p>
            <w:pPr>
              <w:spacing w:line="440" w:lineRule="exact"/>
              <w:jc w:val="center"/>
              <w:rPr>
                <w:rFonts w:ascii="宋体"/>
                <w:color w:val="auto"/>
                <w:sz w:val="24"/>
              </w:rPr>
            </w:pPr>
            <w:r>
              <w:rPr>
                <w:rFonts w:hint="eastAsia" w:ascii="宋体" w:hAnsi="宋体"/>
                <w:color w:val="auto"/>
                <w:sz w:val="24"/>
              </w:rPr>
              <w:t>佛山铝材</w:t>
            </w:r>
          </w:p>
        </w:tc>
        <w:tc>
          <w:tcPr>
            <w:tcW w:w="1812" w:type="dxa"/>
            <w:noWrap w:val="0"/>
            <w:vAlign w:val="center"/>
          </w:tcPr>
          <w:p>
            <w:pPr>
              <w:spacing w:line="440" w:lineRule="exact"/>
              <w:jc w:val="center"/>
              <w:rPr>
                <w:rFonts w:hint="eastAsia" w:ascii="宋体"/>
                <w:color w:val="auto"/>
                <w:sz w:val="24"/>
              </w:rPr>
            </w:pPr>
            <w:r>
              <w:rPr>
                <w:rFonts w:hint="eastAsia" w:ascii="宋体"/>
                <w:color w:val="auto"/>
                <w:sz w:val="24"/>
                <w:lang w:val="en-US" w:eastAsia="zh-CN"/>
              </w:rPr>
              <w:t>260</w:t>
            </w:r>
          </w:p>
        </w:tc>
        <w:tc>
          <w:tcPr>
            <w:tcW w:w="1812" w:type="dxa"/>
            <w:noWrap w:val="0"/>
            <w:vAlign w:val="center"/>
          </w:tcPr>
          <w:p>
            <w:pPr>
              <w:spacing w:line="440" w:lineRule="exact"/>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Merge w:val="continue"/>
            <w:noWrap w:val="0"/>
            <w:vAlign w:val="center"/>
          </w:tcPr>
          <w:p>
            <w:pPr>
              <w:spacing w:line="440" w:lineRule="exact"/>
              <w:jc w:val="center"/>
              <w:rPr>
                <w:rFonts w:ascii="宋体"/>
                <w:color w:val="auto"/>
                <w:sz w:val="24"/>
              </w:rPr>
            </w:pPr>
          </w:p>
        </w:tc>
        <w:tc>
          <w:tcPr>
            <w:tcW w:w="3019" w:type="dxa"/>
            <w:vMerge w:val="continue"/>
            <w:noWrap w:val="0"/>
            <w:vAlign w:val="center"/>
          </w:tcPr>
          <w:p>
            <w:pPr>
              <w:spacing w:line="440" w:lineRule="exact"/>
              <w:jc w:val="center"/>
              <w:rPr>
                <w:rFonts w:ascii="宋体"/>
                <w:color w:val="auto"/>
                <w:sz w:val="24"/>
              </w:rPr>
            </w:pPr>
          </w:p>
        </w:tc>
        <w:tc>
          <w:tcPr>
            <w:tcW w:w="1877" w:type="dxa"/>
            <w:noWrap w:val="0"/>
            <w:vAlign w:val="center"/>
          </w:tcPr>
          <w:p>
            <w:pPr>
              <w:spacing w:line="440" w:lineRule="exact"/>
              <w:jc w:val="center"/>
              <w:rPr>
                <w:rFonts w:ascii="宋体"/>
                <w:color w:val="auto"/>
                <w:sz w:val="24"/>
              </w:rPr>
            </w:pPr>
            <w:r>
              <w:rPr>
                <w:rFonts w:hint="eastAsia" w:ascii="宋体" w:hAnsi="宋体"/>
                <w:color w:val="auto"/>
                <w:sz w:val="24"/>
              </w:rPr>
              <w:t>兴发铝材</w:t>
            </w:r>
          </w:p>
        </w:tc>
        <w:tc>
          <w:tcPr>
            <w:tcW w:w="1812" w:type="dxa"/>
            <w:noWrap w:val="0"/>
            <w:vAlign w:val="center"/>
          </w:tcPr>
          <w:p>
            <w:pPr>
              <w:spacing w:line="440" w:lineRule="exact"/>
              <w:jc w:val="center"/>
              <w:rPr>
                <w:rFonts w:ascii="宋体"/>
                <w:color w:val="auto"/>
                <w:sz w:val="24"/>
              </w:rPr>
            </w:pPr>
            <w:r>
              <w:rPr>
                <w:rFonts w:hint="eastAsia" w:ascii="宋体"/>
                <w:color w:val="auto"/>
                <w:sz w:val="24"/>
                <w:lang w:val="en-US" w:eastAsia="zh-CN"/>
              </w:rPr>
              <w:t>280</w:t>
            </w:r>
          </w:p>
        </w:tc>
        <w:tc>
          <w:tcPr>
            <w:tcW w:w="1812" w:type="dxa"/>
            <w:noWrap w:val="0"/>
            <w:vAlign w:val="center"/>
          </w:tcPr>
          <w:p>
            <w:pPr>
              <w:spacing w:line="440" w:lineRule="exact"/>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Merge w:val="restart"/>
            <w:noWrap w:val="0"/>
            <w:vAlign w:val="center"/>
          </w:tcPr>
          <w:p>
            <w:pPr>
              <w:spacing w:line="440" w:lineRule="exact"/>
              <w:jc w:val="center"/>
              <w:rPr>
                <w:rFonts w:ascii="宋体" w:hAnsi="宋体"/>
                <w:color w:val="auto"/>
                <w:sz w:val="24"/>
              </w:rPr>
            </w:pPr>
            <w:r>
              <w:rPr>
                <w:rFonts w:ascii="宋体" w:hAnsi="宋体"/>
                <w:color w:val="auto"/>
                <w:sz w:val="24"/>
              </w:rPr>
              <w:t>14</w:t>
            </w:r>
          </w:p>
        </w:tc>
        <w:tc>
          <w:tcPr>
            <w:tcW w:w="3019" w:type="dxa"/>
            <w:vMerge w:val="restart"/>
            <w:noWrap w:val="0"/>
            <w:vAlign w:val="center"/>
          </w:tcPr>
          <w:p>
            <w:pPr>
              <w:spacing w:line="440" w:lineRule="exact"/>
              <w:jc w:val="center"/>
              <w:rPr>
                <w:rFonts w:ascii="宋体"/>
                <w:color w:val="auto"/>
                <w:sz w:val="24"/>
              </w:rPr>
            </w:pPr>
            <w:r>
              <w:rPr>
                <w:rFonts w:hint="eastAsia" w:ascii="宋体" w:hAnsi="宋体"/>
                <w:color w:val="auto"/>
                <w:sz w:val="24"/>
              </w:rPr>
              <w:t>阻燃电线，</w:t>
            </w:r>
            <w:r>
              <w:rPr>
                <w:rFonts w:ascii="宋体" w:hAnsi="宋体"/>
                <w:color w:val="auto"/>
                <w:sz w:val="24"/>
              </w:rPr>
              <w:t>2.5m2</w:t>
            </w:r>
            <w:r>
              <w:rPr>
                <w:rFonts w:hint="eastAsia" w:ascii="宋体" w:hAnsi="宋体"/>
                <w:color w:val="auto"/>
                <w:sz w:val="24"/>
              </w:rPr>
              <w:t>（米）</w:t>
            </w:r>
          </w:p>
        </w:tc>
        <w:tc>
          <w:tcPr>
            <w:tcW w:w="1877" w:type="dxa"/>
            <w:noWrap w:val="0"/>
            <w:vAlign w:val="center"/>
          </w:tcPr>
          <w:p>
            <w:pPr>
              <w:spacing w:line="440" w:lineRule="exact"/>
              <w:jc w:val="center"/>
              <w:rPr>
                <w:rFonts w:ascii="宋体"/>
                <w:color w:val="auto"/>
                <w:sz w:val="24"/>
              </w:rPr>
            </w:pPr>
            <w:r>
              <w:rPr>
                <w:rFonts w:hint="eastAsia" w:ascii="宋体" w:hAnsi="宋体"/>
                <w:color w:val="auto"/>
                <w:sz w:val="24"/>
              </w:rPr>
              <w:t>广州电缆</w:t>
            </w:r>
          </w:p>
        </w:tc>
        <w:tc>
          <w:tcPr>
            <w:tcW w:w="1812" w:type="dxa"/>
            <w:noWrap w:val="0"/>
            <w:vAlign w:val="center"/>
          </w:tcPr>
          <w:p>
            <w:pPr>
              <w:spacing w:line="440" w:lineRule="exact"/>
              <w:jc w:val="center"/>
              <w:rPr>
                <w:rFonts w:ascii="宋体"/>
                <w:color w:val="auto"/>
                <w:sz w:val="24"/>
              </w:rPr>
            </w:pPr>
            <w:r>
              <w:rPr>
                <w:rFonts w:hint="eastAsia" w:ascii="宋体"/>
                <w:color w:val="auto"/>
                <w:sz w:val="24"/>
              </w:rPr>
              <w:t>6.2</w:t>
            </w:r>
          </w:p>
        </w:tc>
        <w:tc>
          <w:tcPr>
            <w:tcW w:w="1812" w:type="dxa"/>
            <w:noWrap w:val="0"/>
            <w:vAlign w:val="center"/>
          </w:tcPr>
          <w:p>
            <w:pPr>
              <w:spacing w:line="440" w:lineRule="exact"/>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Merge w:val="continue"/>
            <w:noWrap w:val="0"/>
            <w:vAlign w:val="center"/>
          </w:tcPr>
          <w:p>
            <w:pPr>
              <w:spacing w:line="440" w:lineRule="exact"/>
              <w:jc w:val="center"/>
              <w:rPr>
                <w:rFonts w:ascii="宋体"/>
                <w:color w:val="auto"/>
                <w:sz w:val="24"/>
              </w:rPr>
            </w:pPr>
          </w:p>
        </w:tc>
        <w:tc>
          <w:tcPr>
            <w:tcW w:w="3019" w:type="dxa"/>
            <w:vMerge w:val="continue"/>
            <w:noWrap w:val="0"/>
            <w:vAlign w:val="center"/>
          </w:tcPr>
          <w:p>
            <w:pPr>
              <w:spacing w:line="440" w:lineRule="exact"/>
              <w:jc w:val="center"/>
              <w:rPr>
                <w:rFonts w:ascii="宋体"/>
                <w:color w:val="auto"/>
                <w:sz w:val="24"/>
              </w:rPr>
            </w:pPr>
          </w:p>
        </w:tc>
        <w:tc>
          <w:tcPr>
            <w:tcW w:w="1877" w:type="dxa"/>
            <w:noWrap w:val="0"/>
            <w:vAlign w:val="center"/>
          </w:tcPr>
          <w:p>
            <w:pPr>
              <w:spacing w:line="440" w:lineRule="exact"/>
              <w:jc w:val="center"/>
              <w:rPr>
                <w:rFonts w:ascii="宋体"/>
                <w:color w:val="auto"/>
                <w:sz w:val="24"/>
              </w:rPr>
            </w:pPr>
            <w:r>
              <w:rPr>
                <w:rFonts w:hint="eastAsia" w:ascii="宋体" w:hAnsi="宋体"/>
                <w:color w:val="auto"/>
                <w:sz w:val="24"/>
              </w:rPr>
              <w:t>珠江电缆</w:t>
            </w:r>
          </w:p>
        </w:tc>
        <w:tc>
          <w:tcPr>
            <w:tcW w:w="1812" w:type="dxa"/>
            <w:noWrap w:val="0"/>
            <w:vAlign w:val="center"/>
          </w:tcPr>
          <w:p>
            <w:pPr>
              <w:spacing w:line="440" w:lineRule="exact"/>
              <w:jc w:val="center"/>
              <w:rPr>
                <w:rFonts w:ascii="宋体"/>
                <w:color w:val="auto"/>
                <w:sz w:val="24"/>
              </w:rPr>
            </w:pPr>
            <w:r>
              <w:rPr>
                <w:rFonts w:hint="eastAsia" w:ascii="宋体"/>
                <w:color w:val="auto"/>
                <w:sz w:val="24"/>
              </w:rPr>
              <w:t>5.8</w:t>
            </w:r>
          </w:p>
        </w:tc>
        <w:tc>
          <w:tcPr>
            <w:tcW w:w="1812" w:type="dxa"/>
            <w:noWrap w:val="0"/>
            <w:vAlign w:val="center"/>
          </w:tcPr>
          <w:p>
            <w:pPr>
              <w:spacing w:line="440" w:lineRule="exact"/>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Merge w:val="restart"/>
            <w:noWrap w:val="0"/>
            <w:vAlign w:val="center"/>
          </w:tcPr>
          <w:p>
            <w:pPr>
              <w:spacing w:line="440" w:lineRule="exact"/>
              <w:jc w:val="center"/>
              <w:rPr>
                <w:rFonts w:ascii="宋体" w:hAnsi="宋体"/>
                <w:color w:val="auto"/>
                <w:sz w:val="24"/>
              </w:rPr>
            </w:pPr>
            <w:r>
              <w:rPr>
                <w:rFonts w:ascii="宋体" w:hAnsi="宋体"/>
                <w:color w:val="auto"/>
                <w:sz w:val="24"/>
              </w:rPr>
              <w:t>15</w:t>
            </w:r>
          </w:p>
        </w:tc>
        <w:tc>
          <w:tcPr>
            <w:tcW w:w="3019" w:type="dxa"/>
            <w:vMerge w:val="restart"/>
            <w:noWrap w:val="0"/>
            <w:vAlign w:val="center"/>
          </w:tcPr>
          <w:p>
            <w:pPr>
              <w:spacing w:line="440" w:lineRule="exact"/>
              <w:jc w:val="center"/>
              <w:rPr>
                <w:rFonts w:ascii="宋体"/>
                <w:color w:val="auto"/>
                <w:sz w:val="24"/>
              </w:rPr>
            </w:pPr>
            <w:r>
              <w:rPr>
                <w:rFonts w:hint="eastAsia" w:ascii="宋体" w:hAnsi="宋体"/>
                <w:color w:val="auto"/>
                <w:sz w:val="24"/>
              </w:rPr>
              <w:t>插座，规格</w:t>
            </w:r>
            <w:r>
              <w:rPr>
                <w:rFonts w:ascii="宋体" w:hAnsi="宋体"/>
                <w:color w:val="auto"/>
                <w:sz w:val="24"/>
              </w:rPr>
              <w:t>10A</w:t>
            </w:r>
            <w:r>
              <w:rPr>
                <w:rFonts w:hint="eastAsia" w:ascii="宋体" w:hAnsi="宋体"/>
                <w:color w:val="auto"/>
                <w:sz w:val="24"/>
              </w:rPr>
              <w:t>（个）</w:t>
            </w:r>
          </w:p>
        </w:tc>
        <w:tc>
          <w:tcPr>
            <w:tcW w:w="1877" w:type="dxa"/>
            <w:noWrap w:val="0"/>
            <w:vAlign w:val="center"/>
          </w:tcPr>
          <w:p>
            <w:pPr>
              <w:spacing w:line="440" w:lineRule="exact"/>
              <w:jc w:val="center"/>
              <w:rPr>
                <w:rFonts w:ascii="宋体"/>
                <w:color w:val="auto"/>
                <w:sz w:val="24"/>
              </w:rPr>
            </w:pPr>
            <w:r>
              <w:rPr>
                <w:rFonts w:hint="eastAsia" w:ascii="宋体" w:hAnsi="宋体"/>
                <w:color w:val="auto"/>
                <w:sz w:val="24"/>
              </w:rPr>
              <w:t>施耐德</w:t>
            </w:r>
          </w:p>
        </w:tc>
        <w:tc>
          <w:tcPr>
            <w:tcW w:w="1812" w:type="dxa"/>
            <w:noWrap w:val="0"/>
            <w:vAlign w:val="center"/>
          </w:tcPr>
          <w:p>
            <w:pPr>
              <w:spacing w:line="440" w:lineRule="exact"/>
              <w:jc w:val="center"/>
              <w:rPr>
                <w:rFonts w:ascii="宋体"/>
                <w:color w:val="auto"/>
                <w:sz w:val="24"/>
              </w:rPr>
            </w:pPr>
            <w:r>
              <w:rPr>
                <w:rFonts w:hint="eastAsia" w:ascii="宋体"/>
                <w:color w:val="auto"/>
                <w:sz w:val="24"/>
              </w:rPr>
              <w:t>28.9</w:t>
            </w:r>
          </w:p>
        </w:tc>
        <w:tc>
          <w:tcPr>
            <w:tcW w:w="1812" w:type="dxa"/>
            <w:noWrap w:val="0"/>
            <w:vAlign w:val="center"/>
          </w:tcPr>
          <w:p>
            <w:pPr>
              <w:spacing w:line="440" w:lineRule="exact"/>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Merge w:val="continue"/>
            <w:noWrap w:val="0"/>
            <w:vAlign w:val="center"/>
          </w:tcPr>
          <w:p>
            <w:pPr>
              <w:spacing w:line="440" w:lineRule="exact"/>
              <w:jc w:val="center"/>
              <w:rPr>
                <w:rFonts w:ascii="宋体"/>
                <w:color w:val="auto"/>
                <w:sz w:val="24"/>
              </w:rPr>
            </w:pPr>
          </w:p>
        </w:tc>
        <w:tc>
          <w:tcPr>
            <w:tcW w:w="3019" w:type="dxa"/>
            <w:vMerge w:val="continue"/>
            <w:noWrap w:val="0"/>
            <w:vAlign w:val="center"/>
          </w:tcPr>
          <w:p>
            <w:pPr>
              <w:spacing w:line="440" w:lineRule="exact"/>
              <w:jc w:val="center"/>
              <w:rPr>
                <w:rFonts w:ascii="宋体"/>
                <w:color w:val="auto"/>
                <w:sz w:val="24"/>
              </w:rPr>
            </w:pPr>
          </w:p>
        </w:tc>
        <w:tc>
          <w:tcPr>
            <w:tcW w:w="1877" w:type="dxa"/>
            <w:noWrap w:val="0"/>
            <w:vAlign w:val="center"/>
          </w:tcPr>
          <w:p>
            <w:pPr>
              <w:spacing w:line="440" w:lineRule="exact"/>
              <w:jc w:val="center"/>
              <w:rPr>
                <w:rFonts w:ascii="宋体"/>
                <w:color w:val="auto"/>
                <w:sz w:val="24"/>
              </w:rPr>
            </w:pPr>
            <w:r>
              <w:rPr>
                <w:rFonts w:hint="eastAsia" w:ascii="宋体" w:hAnsi="宋体"/>
                <w:color w:val="auto"/>
                <w:sz w:val="24"/>
              </w:rPr>
              <w:t>正泰</w:t>
            </w:r>
          </w:p>
        </w:tc>
        <w:tc>
          <w:tcPr>
            <w:tcW w:w="1812" w:type="dxa"/>
            <w:noWrap w:val="0"/>
            <w:vAlign w:val="center"/>
          </w:tcPr>
          <w:p>
            <w:pPr>
              <w:spacing w:line="440" w:lineRule="exact"/>
              <w:jc w:val="center"/>
              <w:rPr>
                <w:rFonts w:ascii="宋体"/>
                <w:color w:val="auto"/>
                <w:sz w:val="24"/>
              </w:rPr>
            </w:pPr>
            <w:r>
              <w:rPr>
                <w:rFonts w:hint="eastAsia" w:ascii="宋体"/>
                <w:color w:val="auto"/>
                <w:sz w:val="24"/>
              </w:rPr>
              <w:t>25.5</w:t>
            </w:r>
          </w:p>
        </w:tc>
        <w:tc>
          <w:tcPr>
            <w:tcW w:w="1812" w:type="dxa"/>
            <w:noWrap w:val="0"/>
            <w:vAlign w:val="center"/>
          </w:tcPr>
          <w:p>
            <w:pPr>
              <w:spacing w:line="440" w:lineRule="exact"/>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Merge w:val="restart"/>
            <w:noWrap w:val="0"/>
            <w:vAlign w:val="center"/>
          </w:tcPr>
          <w:p>
            <w:pPr>
              <w:spacing w:line="440" w:lineRule="exact"/>
              <w:jc w:val="center"/>
              <w:rPr>
                <w:rFonts w:ascii="宋体" w:hAnsi="宋体"/>
                <w:color w:val="auto"/>
                <w:sz w:val="24"/>
              </w:rPr>
            </w:pPr>
            <w:r>
              <w:rPr>
                <w:rFonts w:ascii="宋体" w:hAnsi="宋体"/>
                <w:color w:val="auto"/>
                <w:sz w:val="24"/>
              </w:rPr>
              <w:t>16</w:t>
            </w:r>
          </w:p>
        </w:tc>
        <w:tc>
          <w:tcPr>
            <w:tcW w:w="3019" w:type="dxa"/>
            <w:vMerge w:val="restart"/>
            <w:noWrap w:val="0"/>
            <w:vAlign w:val="center"/>
          </w:tcPr>
          <w:p>
            <w:pPr>
              <w:spacing w:line="440" w:lineRule="exact"/>
              <w:jc w:val="center"/>
              <w:rPr>
                <w:rFonts w:ascii="宋体"/>
                <w:color w:val="auto"/>
                <w:sz w:val="24"/>
              </w:rPr>
            </w:pPr>
            <w:r>
              <w:rPr>
                <w:rFonts w:hint="eastAsia" w:ascii="宋体" w:hAnsi="宋体"/>
                <w:color w:val="auto"/>
                <w:sz w:val="24"/>
              </w:rPr>
              <w:t>漏电开关，规格</w:t>
            </w:r>
            <w:r>
              <w:rPr>
                <w:rFonts w:ascii="宋体" w:hAnsi="宋体"/>
                <w:color w:val="auto"/>
                <w:sz w:val="24"/>
              </w:rPr>
              <w:t>16A</w:t>
            </w:r>
            <w:r>
              <w:rPr>
                <w:rFonts w:hint="eastAsia" w:ascii="宋体" w:hAnsi="宋体"/>
                <w:color w:val="auto"/>
                <w:sz w:val="24"/>
              </w:rPr>
              <w:t>（个）</w:t>
            </w:r>
          </w:p>
        </w:tc>
        <w:tc>
          <w:tcPr>
            <w:tcW w:w="1877" w:type="dxa"/>
            <w:noWrap w:val="0"/>
            <w:vAlign w:val="center"/>
          </w:tcPr>
          <w:p>
            <w:pPr>
              <w:spacing w:line="440" w:lineRule="exact"/>
              <w:jc w:val="center"/>
              <w:rPr>
                <w:rFonts w:ascii="宋体"/>
                <w:color w:val="auto"/>
                <w:sz w:val="24"/>
              </w:rPr>
            </w:pPr>
            <w:r>
              <w:rPr>
                <w:rFonts w:hint="eastAsia" w:ascii="宋体" w:hAnsi="宋体"/>
                <w:color w:val="auto"/>
                <w:sz w:val="24"/>
              </w:rPr>
              <w:t>施耐德</w:t>
            </w:r>
          </w:p>
        </w:tc>
        <w:tc>
          <w:tcPr>
            <w:tcW w:w="1812" w:type="dxa"/>
            <w:noWrap w:val="0"/>
            <w:vAlign w:val="center"/>
          </w:tcPr>
          <w:p>
            <w:pPr>
              <w:spacing w:line="440" w:lineRule="exact"/>
              <w:jc w:val="center"/>
              <w:rPr>
                <w:rFonts w:ascii="宋体"/>
                <w:color w:val="auto"/>
                <w:sz w:val="24"/>
              </w:rPr>
            </w:pPr>
            <w:r>
              <w:rPr>
                <w:rFonts w:hint="eastAsia" w:ascii="宋体"/>
                <w:color w:val="auto"/>
                <w:sz w:val="24"/>
              </w:rPr>
              <w:t>173</w:t>
            </w:r>
          </w:p>
        </w:tc>
        <w:tc>
          <w:tcPr>
            <w:tcW w:w="1812" w:type="dxa"/>
            <w:noWrap w:val="0"/>
            <w:vAlign w:val="center"/>
          </w:tcPr>
          <w:p>
            <w:pPr>
              <w:spacing w:line="440" w:lineRule="exact"/>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Merge w:val="continue"/>
            <w:noWrap w:val="0"/>
            <w:vAlign w:val="center"/>
          </w:tcPr>
          <w:p>
            <w:pPr>
              <w:spacing w:line="440" w:lineRule="exact"/>
              <w:jc w:val="center"/>
              <w:rPr>
                <w:rFonts w:ascii="宋体"/>
                <w:color w:val="auto"/>
                <w:sz w:val="24"/>
              </w:rPr>
            </w:pPr>
          </w:p>
        </w:tc>
        <w:tc>
          <w:tcPr>
            <w:tcW w:w="3019" w:type="dxa"/>
            <w:vMerge w:val="continue"/>
            <w:noWrap w:val="0"/>
            <w:vAlign w:val="center"/>
          </w:tcPr>
          <w:p>
            <w:pPr>
              <w:spacing w:line="440" w:lineRule="exact"/>
              <w:jc w:val="center"/>
              <w:rPr>
                <w:rFonts w:ascii="宋体"/>
                <w:color w:val="auto"/>
                <w:sz w:val="24"/>
              </w:rPr>
            </w:pPr>
          </w:p>
        </w:tc>
        <w:tc>
          <w:tcPr>
            <w:tcW w:w="1877" w:type="dxa"/>
            <w:noWrap w:val="0"/>
            <w:vAlign w:val="center"/>
          </w:tcPr>
          <w:p>
            <w:pPr>
              <w:spacing w:line="440" w:lineRule="exact"/>
              <w:jc w:val="center"/>
              <w:rPr>
                <w:rFonts w:ascii="宋体"/>
                <w:color w:val="auto"/>
                <w:sz w:val="24"/>
              </w:rPr>
            </w:pPr>
            <w:r>
              <w:rPr>
                <w:rFonts w:hint="eastAsia" w:ascii="宋体" w:hAnsi="宋体"/>
                <w:color w:val="auto"/>
                <w:sz w:val="24"/>
              </w:rPr>
              <w:t>正泰</w:t>
            </w:r>
          </w:p>
        </w:tc>
        <w:tc>
          <w:tcPr>
            <w:tcW w:w="1812" w:type="dxa"/>
            <w:noWrap w:val="0"/>
            <w:vAlign w:val="center"/>
          </w:tcPr>
          <w:p>
            <w:pPr>
              <w:spacing w:line="440" w:lineRule="exact"/>
              <w:jc w:val="center"/>
              <w:rPr>
                <w:rFonts w:ascii="宋体"/>
                <w:color w:val="auto"/>
                <w:sz w:val="24"/>
              </w:rPr>
            </w:pPr>
            <w:r>
              <w:rPr>
                <w:rFonts w:hint="eastAsia" w:ascii="宋体"/>
                <w:color w:val="auto"/>
                <w:sz w:val="24"/>
              </w:rPr>
              <w:t>150</w:t>
            </w:r>
          </w:p>
        </w:tc>
        <w:tc>
          <w:tcPr>
            <w:tcW w:w="1812" w:type="dxa"/>
            <w:noWrap w:val="0"/>
            <w:vAlign w:val="center"/>
          </w:tcPr>
          <w:p>
            <w:pPr>
              <w:spacing w:line="440" w:lineRule="exact"/>
              <w:jc w:val="center"/>
              <w:rPr>
                <w:rFonts w:ascii="宋体"/>
                <w:color w:val="auto"/>
                <w:sz w:val="24"/>
              </w:rPr>
            </w:pPr>
          </w:p>
        </w:tc>
      </w:tr>
    </w:tbl>
    <w:p>
      <w:pPr>
        <w:autoSpaceDE w:val="0"/>
        <w:autoSpaceDN w:val="0"/>
        <w:adjustRightInd w:val="0"/>
        <w:spacing w:line="440" w:lineRule="exact"/>
        <w:jc w:val="left"/>
        <w:outlineLvl w:val="0"/>
        <w:rPr>
          <w:rFonts w:hint="eastAsia" w:ascii="宋体" w:hAnsi="宋体"/>
          <w:sz w:val="24"/>
        </w:rPr>
      </w:pPr>
      <w:bookmarkStart w:id="7" w:name="_Toc65659643"/>
      <w:bookmarkStart w:id="8" w:name="_Toc327988295"/>
      <w:r>
        <w:rPr>
          <w:rFonts w:hint="eastAsia" w:ascii="宋体" w:hAnsi="宋体"/>
          <w:sz w:val="24"/>
        </w:rPr>
        <w:t>注：</w:t>
      </w:r>
    </w:p>
    <w:p>
      <w:pPr>
        <w:autoSpaceDE w:val="0"/>
        <w:autoSpaceDN w:val="0"/>
        <w:adjustRightInd w:val="0"/>
        <w:spacing w:line="440" w:lineRule="exact"/>
        <w:jc w:val="left"/>
        <w:outlineLvl w:val="0"/>
        <w:rPr>
          <w:rFonts w:ascii="宋体"/>
          <w:sz w:val="24"/>
        </w:rPr>
      </w:pPr>
      <w:r>
        <w:rPr>
          <w:rFonts w:hint="eastAsia" w:ascii="宋体" w:hAnsi="宋体"/>
          <w:sz w:val="24"/>
        </w:rPr>
        <w:t>（</w:t>
      </w:r>
      <w:r>
        <w:rPr>
          <w:rFonts w:ascii="宋体" w:hAnsi="宋体"/>
          <w:sz w:val="24"/>
        </w:rPr>
        <w:t>1</w:t>
      </w:r>
      <w:r>
        <w:rPr>
          <w:rFonts w:hint="eastAsia" w:ascii="宋体" w:hAnsi="宋体"/>
          <w:sz w:val="24"/>
        </w:rPr>
        <w:t>）本项目工程主要材料价格（包含安装费、税管费）清单报价合计作为</w:t>
      </w:r>
      <w:r>
        <w:rPr>
          <w:rFonts w:hint="eastAsia" w:ascii="宋体" w:hAnsi="宋体"/>
          <w:b/>
          <w:bCs/>
          <w:sz w:val="24"/>
        </w:rPr>
        <w:t>投标总报价</w:t>
      </w:r>
      <w:r>
        <w:rPr>
          <w:rFonts w:ascii="宋体"/>
          <w:sz w:val="24"/>
        </w:rPr>
        <w:t>,</w:t>
      </w:r>
      <w:r>
        <w:rPr>
          <w:rFonts w:hint="eastAsia" w:ascii="宋体" w:hAnsi="宋体"/>
          <w:sz w:val="24"/>
        </w:rPr>
        <w:t>该投标总报价不作为结算价。</w:t>
      </w:r>
    </w:p>
    <w:p>
      <w:pPr>
        <w:autoSpaceDE w:val="0"/>
        <w:autoSpaceDN w:val="0"/>
        <w:adjustRightInd w:val="0"/>
        <w:spacing w:line="440" w:lineRule="exact"/>
        <w:jc w:val="left"/>
        <w:outlineLvl w:val="0"/>
        <w:rPr>
          <w:rFonts w:hint="eastAsia" w:ascii="宋体" w:hAnsi="宋体"/>
          <w:sz w:val="24"/>
        </w:rPr>
      </w:pPr>
      <w:r>
        <w:rPr>
          <w:rFonts w:hint="eastAsia" w:ascii="宋体" w:hAnsi="宋体"/>
          <w:sz w:val="24"/>
        </w:rPr>
        <w:t>（</w:t>
      </w:r>
      <w:r>
        <w:rPr>
          <w:rFonts w:ascii="宋体" w:hAnsi="宋体"/>
          <w:sz w:val="24"/>
        </w:rPr>
        <w:t>2</w:t>
      </w:r>
      <w:r>
        <w:rPr>
          <w:rFonts w:hint="eastAsia" w:ascii="宋体" w:hAnsi="宋体"/>
          <w:sz w:val="24"/>
        </w:rPr>
        <w:t>）设备报价采用综合报价，包含主材、运输、安装、调试、人工、验收等所有费用。</w:t>
      </w:r>
    </w:p>
    <w:p>
      <w:pPr>
        <w:autoSpaceDE w:val="0"/>
        <w:autoSpaceDN w:val="0"/>
        <w:adjustRightInd w:val="0"/>
        <w:spacing w:line="440" w:lineRule="exact"/>
        <w:jc w:val="left"/>
        <w:outlineLvl w:val="0"/>
        <w:rPr>
          <w:rFonts w:ascii="宋体" w:cs="宋体"/>
          <w:b/>
          <w:kern w:val="0"/>
          <w:sz w:val="24"/>
        </w:rPr>
      </w:pPr>
      <w:r>
        <w:rPr>
          <w:rFonts w:hint="eastAsia" w:ascii="宋体" w:hAnsi="宋体" w:cs="宋体"/>
          <w:b/>
          <w:kern w:val="0"/>
          <w:sz w:val="24"/>
        </w:rPr>
        <w:t>六、材料及设备供应</w:t>
      </w:r>
      <w:bookmarkEnd w:id="7"/>
    </w:p>
    <w:p>
      <w:pPr>
        <w:adjustRightInd w:val="0"/>
        <w:snapToGrid w:val="0"/>
        <w:spacing w:line="440" w:lineRule="exact"/>
        <w:rPr>
          <w:rFonts w:ascii="宋体" w:cs="Arial"/>
          <w:sz w:val="24"/>
        </w:rPr>
      </w:pPr>
      <w:r>
        <w:rPr>
          <w:rFonts w:hint="eastAsia" w:ascii="宋体" w:hAnsi="宋体" w:cs="Arial"/>
          <w:sz w:val="24"/>
        </w:rPr>
        <w:t>本维修安装项目所承包范围内所需的材料、成品、未成品、设备的采购、运输、保管、质量等责任均由中标人承担。本维修安装项目除特殊设备及材料明确甲方供应外，采购人不提供材料。</w:t>
      </w:r>
    </w:p>
    <w:p>
      <w:pPr>
        <w:widowControl/>
        <w:numPr>
          <w:ilvl w:val="0"/>
          <w:numId w:val="3"/>
        </w:numPr>
        <w:adjustRightInd w:val="0"/>
        <w:snapToGrid w:val="0"/>
        <w:spacing w:line="440" w:lineRule="exact"/>
        <w:ind w:left="360" w:hanging="360" w:hangingChars="150"/>
        <w:rPr>
          <w:rFonts w:ascii="宋体" w:cs="Arial"/>
          <w:sz w:val="24"/>
        </w:rPr>
      </w:pPr>
      <w:r>
        <w:rPr>
          <w:rFonts w:hint="eastAsia" w:ascii="宋体" w:hAnsi="宋体" w:cs="Arial"/>
          <w:sz w:val="24"/>
        </w:rPr>
        <w:t>采购供应的材料、设备、其名称、品种、型号、规格、质量等，均应符合国家、地方及行业有关规范及要求。</w:t>
      </w:r>
    </w:p>
    <w:p>
      <w:pPr>
        <w:widowControl/>
        <w:numPr>
          <w:ilvl w:val="0"/>
          <w:numId w:val="3"/>
        </w:numPr>
        <w:adjustRightInd w:val="0"/>
        <w:snapToGrid w:val="0"/>
        <w:spacing w:line="440" w:lineRule="exact"/>
        <w:ind w:left="360" w:hanging="360" w:hangingChars="150"/>
        <w:rPr>
          <w:rFonts w:ascii="宋体" w:cs="Arial"/>
          <w:sz w:val="24"/>
        </w:rPr>
      </w:pPr>
      <w:r>
        <w:rPr>
          <w:rFonts w:hint="eastAsia" w:ascii="宋体" w:hAnsi="宋体" w:cs="Arial"/>
          <w:sz w:val="24"/>
        </w:rPr>
        <w:t>本项目所使用的主要材料投入使用前，承包人需提供样品及出厂合格证给采购人审核，并报采购人批准后方可投入使用，设备应符合甲方（相关使用科室）指定的要求，如需改变必须得到甲方（相关使用科室）签名确认方可。</w:t>
      </w:r>
    </w:p>
    <w:p>
      <w:pPr>
        <w:widowControl/>
        <w:numPr>
          <w:ilvl w:val="0"/>
          <w:numId w:val="3"/>
        </w:numPr>
        <w:adjustRightInd w:val="0"/>
        <w:snapToGrid w:val="0"/>
        <w:spacing w:line="440" w:lineRule="exact"/>
        <w:ind w:left="360" w:hanging="360" w:hangingChars="150"/>
        <w:rPr>
          <w:rFonts w:ascii="宋体" w:cs="Arial"/>
          <w:sz w:val="24"/>
        </w:rPr>
      </w:pPr>
      <w:r>
        <w:rPr>
          <w:rFonts w:hint="eastAsia" w:ascii="宋体" w:hAnsi="宋体" w:cs="Arial"/>
          <w:sz w:val="24"/>
        </w:rPr>
        <w:t>由于投标人提供的伪劣、假冒等所有不合格材料而导致的损失、事故及一切后果，均由投标人负责并赔偿采购人所有损失，并负责更换所有已施工的不合格材料。</w:t>
      </w:r>
    </w:p>
    <w:p>
      <w:pPr>
        <w:widowControl/>
        <w:numPr>
          <w:ilvl w:val="0"/>
          <w:numId w:val="3"/>
        </w:numPr>
        <w:adjustRightInd w:val="0"/>
        <w:snapToGrid w:val="0"/>
        <w:spacing w:line="440" w:lineRule="exact"/>
        <w:ind w:left="360" w:hanging="360" w:hangingChars="150"/>
        <w:rPr>
          <w:rFonts w:ascii="宋体" w:cs="Arial"/>
          <w:sz w:val="24"/>
        </w:rPr>
      </w:pPr>
      <w:r>
        <w:rPr>
          <w:rFonts w:hint="eastAsia" w:ascii="宋体" w:hAnsi="宋体" w:cs="Arial"/>
          <w:sz w:val="24"/>
        </w:rPr>
        <w:t>采购人保留对维修安装项目使用之主要材料品质确认审查的权利及保留另行委托专业队伍对本工程进行独立检测的权利，有需要时将进行抽样送检，检测费用由中标人承担。</w:t>
      </w:r>
    </w:p>
    <w:p>
      <w:pPr>
        <w:widowControl/>
        <w:numPr>
          <w:ilvl w:val="0"/>
          <w:numId w:val="3"/>
        </w:numPr>
        <w:adjustRightInd w:val="0"/>
        <w:snapToGrid w:val="0"/>
        <w:spacing w:line="440" w:lineRule="exact"/>
        <w:ind w:left="360" w:hanging="360" w:hangingChars="150"/>
        <w:rPr>
          <w:rFonts w:ascii="宋体" w:cs="Arial"/>
          <w:sz w:val="24"/>
        </w:rPr>
      </w:pPr>
      <w:r>
        <w:rPr>
          <w:rFonts w:hint="eastAsia" w:ascii="宋体" w:hAnsi="宋体" w:cs="Arial"/>
          <w:sz w:val="24"/>
        </w:rPr>
        <w:t>招标范围之内维修安装项目所用之设备，由中标人提供。</w:t>
      </w:r>
    </w:p>
    <w:p>
      <w:pPr>
        <w:autoSpaceDE w:val="0"/>
        <w:autoSpaceDN w:val="0"/>
        <w:adjustRightInd w:val="0"/>
        <w:spacing w:line="440" w:lineRule="exact"/>
        <w:jc w:val="left"/>
        <w:outlineLvl w:val="0"/>
        <w:rPr>
          <w:rFonts w:ascii="宋体" w:cs="宋体"/>
          <w:b/>
          <w:kern w:val="0"/>
          <w:sz w:val="24"/>
        </w:rPr>
      </w:pPr>
      <w:bookmarkStart w:id="9" w:name="_Toc65659644"/>
      <w:r>
        <w:rPr>
          <w:rFonts w:hint="eastAsia" w:ascii="宋体" w:hAnsi="宋体" w:cs="宋体"/>
          <w:b/>
          <w:kern w:val="0"/>
          <w:sz w:val="24"/>
        </w:rPr>
        <w:t>七、付款方式</w:t>
      </w:r>
      <w:bookmarkEnd w:id="9"/>
    </w:p>
    <w:p>
      <w:pPr>
        <w:snapToGrid w:val="0"/>
        <w:spacing w:line="440" w:lineRule="exact"/>
        <w:rPr>
          <w:rFonts w:ascii="宋体" w:cs="Arial"/>
          <w:sz w:val="24"/>
        </w:rPr>
      </w:pPr>
      <w:r>
        <w:rPr>
          <w:rFonts w:hint="eastAsia" w:ascii="宋体" w:hAnsi="宋体" w:cs="Arial"/>
          <w:sz w:val="24"/>
        </w:rPr>
        <w:t>维修安装项目验收合格后提交相关的验收资料、工程签证单和工程结算书给采购人审核，采购人在</w:t>
      </w:r>
      <w:r>
        <w:rPr>
          <w:rFonts w:ascii="宋体" w:hAnsi="宋体" w:cs="Arial"/>
          <w:sz w:val="24"/>
        </w:rPr>
        <w:t>20</w:t>
      </w:r>
      <w:r>
        <w:rPr>
          <w:rFonts w:hint="eastAsia" w:ascii="宋体" w:hAnsi="宋体" w:cs="Arial"/>
          <w:sz w:val="24"/>
        </w:rPr>
        <w:t>个工作日内依据医院基建维修申请流程审批单对结算书进行核实、给予确认或提出修改意见。必要时采购人委托有</w:t>
      </w:r>
      <w:r>
        <w:rPr>
          <w:rFonts w:hint="eastAsia" w:ascii="宋体" w:hAnsi="宋体"/>
          <w:sz w:val="24"/>
        </w:rPr>
        <w:t>相关资质审查机构做第三方（具有资质的咨询公司）审核</w:t>
      </w:r>
      <w:r>
        <w:rPr>
          <w:rFonts w:hint="eastAsia" w:ascii="宋体" w:hAnsi="宋体" w:cs="Arial"/>
          <w:sz w:val="24"/>
        </w:rPr>
        <w:t>作为最终结算价</w:t>
      </w:r>
      <w:r>
        <w:rPr>
          <w:rFonts w:hint="eastAsia" w:ascii="宋体" w:hAnsi="宋体"/>
          <w:sz w:val="24"/>
        </w:rPr>
        <w:t>（有特殊约定的除外）</w:t>
      </w:r>
      <w:r>
        <w:rPr>
          <w:rFonts w:hint="eastAsia" w:ascii="宋体" w:hAnsi="宋体" w:cs="Arial"/>
          <w:sz w:val="24"/>
        </w:rPr>
        <w:t>。考虑到单项工程结算金额较少，采购人与中标人的结算方式以累计的方式每季或者半年结算一次。</w:t>
      </w:r>
    </w:p>
    <w:p>
      <w:pPr>
        <w:autoSpaceDE w:val="0"/>
        <w:autoSpaceDN w:val="0"/>
        <w:adjustRightInd w:val="0"/>
        <w:spacing w:line="440" w:lineRule="exact"/>
        <w:jc w:val="left"/>
        <w:outlineLvl w:val="0"/>
        <w:rPr>
          <w:rFonts w:ascii="宋体" w:cs="宋体"/>
          <w:b/>
          <w:kern w:val="0"/>
          <w:sz w:val="24"/>
        </w:rPr>
      </w:pPr>
      <w:bookmarkStart w:id="10" w:name="_Toc65659645"/>
      <w:r>
        <w:rPr>
          <w:rFonts w:hint="eastAsia" w:ascii="宋体" w:hAnsi="宋体" w:cs="宋体"/>
          <w:b/>
          <w:kern w:val="0"/>
          <w:sz w:val="24"/>
        </w:rPr>
        <w:t>八、施工条件及施工要求</w:t>
      </w:r>
      <w:bookmarkEnd w:id="10"/>
    </w:p>
    <w:p>
      <w:pPr>
        <w:pStyle w:val="2"/>
        <w:numPr>
          <w:ilvl w:val="0"/>
          <w:numId w:val="4"/>
        </w:numPr>
        <w:adjustRightInd w:val="0"/>
        <w:snapToGrid w:val="0"/>
        <w:spacing w:line="440" w:lineRule="exact"/>
        <w:ind w:left="444" w:hanging="444" w:hangingChars="185"/>
        <w:rPr>
          <w:rFonts w:hAnsi="宋体" w:cs="Arial"/>
          <w:sz w:val="24"/>
          <w:szCs w:val="24"/>
        </w:rPr>
      </w:pPr>
      <w:r>
        <w:rPr>
          <w:rFonts w:hint="eastAsia" w:hAnsi="宋体" w:cs="Arial"/>
          <w:sz w:val="24"/>
          <w:szCs w:val="24"/>
        </w:rPr>
        <w:t>采购人不提供工人宿舍用地、食堂与生活设施，工人宿舍由承包人在施工现场以外自行解决。</w:t>
      </w:r>
    </w:p>
    <w:p>
      <w:pPr>
        <w:pStyle w:val="2"/>
        <w:numPr>
          <w:ilvl w:val="0"/>
          <w:numId w:val="4"/>
        </w:numPr>
        <w:adjustRightInd w:val="0"/>
        <w:snapToGrid w:val="0"/>
        <w:spacing w:line="440" w:lineRule="exact"/>
        <w:ind w:left="444" w:hanging="444" w:hangingChars="185"/>
        <w:rPr>
          <w:rFonts w:cs="Arial"/>
          <w:sz w:val="24"/>
          <w:szCs w:val="24"/>
        </w:rPr>
      </w:pPr>
      <w:r>
        <w:rPr>
          <w:rFonts w:hint="eastAsia" w:hAnsi="宋体" w:cs="Arial"/>
          <w:sz w:val="24"/>
          <w:szCs w:val="24"/>
        </w:rPr>
        <w:t>施工用水用电各接驳点均设于施工现场边缘。要求中标人安装独立施工用水用电表。费用由施工单位解决。施工场地内水、电管线由中标人根据施工需要自行解决。</w:t>
      </w:r>
    </w:p>
    <w:p>
      <w:pPr>
        <w:pStyle w:val="2"/>
        <w:numPr>
          <w:ilvl w:val="0"/>
          <w:numId w:val="4"/>
        </w:numPr>
        <w:adjustRightInd w:val="0"/>
        <w:snapToGrid w:val="0"/>
        <w:spacing w:line="440" w:lineRule="exact"/>
        <w:ind w:left="444" w:hanging="444" w:hangingChars="185"/>
        <w:rPr>
          <w:rFonts w:cs="Arial"/>
          <w:sz w:val="24"/>
          <w:szCs w:val="24"/>
        </w:rPr>
      </w:pPr>
      <w:r>
        <w:rPr>
          <w:rFonts w:hint="eastAsia" w:hAnsi="宋体" w:cs="Arial"/>
          <w:sz w:val="24"/>
          <w:szCs w:val="24"/>
        </w:rPr>
        <w:t>现场工作时间：</w:t>
      </w:r>
      <w:r>
        <w:rPr>
          <w:rFonts w:hAnsi="宋体" w:cs="Arial"/>
          <w:sz w:val="24"/>
          <w:szCs w:val="24"/>
        </w:rPr>
        <w:t>8:00-17:00</w:t>
      </w:r>
      <w:r>
        <w:rPr>
          <w:rFonts w:hint="eastAsia" w:hAnsi="宋体" w:cs="Arial"/>
          <w:sz w:val="24"/>
          <w:szCs w:val="24"/>
        </w:rPr>
        <w:t>，如特殊情况需提前通知总务科协调。</w:t>
      </w:r>
    </w:p>
    <w:p>
      <w:pPr>
        <w:pStyle w:val="2"/>
        <w:adjustRightInd w:val="0"/>
        <w:snapToGrid w:val="0"/>
        <w:spacing w:line="440" w:lineRule="exact"/>
        <w:rPr>
          <w:rFonts w:cs="Arial"/>
          <w:spacing w:val="-8"/>
          <w:sz w:val="24"/>
          <w:szCs w:val="24"/>
        </w:rPr>
      </w:pPr>
    </w:p>
    <w:p>
      <w:pPr>
        <w:autoSpaceDE w:val="0"/>
        <w:autoSpaceDN w:val="0"/>
        <w:adjustRightInd w:val="0"/>
        <w:spacing w:line="440" w:lineRule="exact"/>
        <w:jc w:val="left"/>
        <w:outlineLvl w:val="0"/>
        <w:rPr>
          <w:rFonts w:ascii="宋体" w:cs="宋体"/>
          <w:b/>
          <w:kern w:val="0"/>
          <w:sz w:val="24"/>
        </w:rPr>
      </w:pPr>
      <w:bookmarkStart w:id="11" w:name="_Toc65659646"/>
      <w:r>
        <w:rPr>
          <w:rFonts w:hint="eastAsia" w:ascii="宋体" w:hAnsi="宋体" w:cs="宋体"/>
          <w:b/>
          <w:kern w:val="0"/>
          <w:sz w:val="24"/>
        </w:rPr>
        <w:t>九、其他说明</w:t>
      </w:r>
      <w:bookmarkEnd w:id="11"/>
    </w:p>
    <w:p>
      <w:pPr>
        <w:pStyle w:val="2"/>
        <w:numPr>
          <w:ilvl w:val="0"/>
          <w:numId w:val="5"/>
        </w:numPr>
        <w:adjustRightInd w:val="0"/>
        <w:snapToGrid w:val="0"/>
        <w:spacing w:line="440" w:lineRule="exact"/>
        <w:ind w:left="444" w:hanging="444" w:hangingChars="185"/>
        <w:rPr>
          <w:rFonts w:cs="Arial"/>
          <w:sz w:val="24"/>
          <w:szCs w:val="24"/>
        </w:rPr>
      </w:pPr>
      <w:r>
        <w:rPr>
          <w:rFonts w:hint="eastAsia" w:hAnsi="宋体" w:cs="Arial"/>
          <w:sz w:val="24"/>
          <w:szCs w:val="24"/>
        </w:rPr>
        <w:t>投标人中标后，不许转包，不许擅自分包。不许随意更换投标文件中所报的项目经理，如确须更换，则事前须征得甲方同意，如有违反，一经发现取消中标资格，并赔偿由此造成的一切损失</w:t>
      </w:r>
      <w:r>
        <w:rPr>
          <w:rFonts w:hAnsi="宋体" w:cs="Arial"/>
          <w:sz w:val="24"/>
          <w:szCs w:val="24"/>
        </w:rPr>
        <w:t>(</w:t>
      </w:r>
      <w:r>
        <w:rPr>
          <w:rFonts w:hint="eastAsia" w:hAnsi="宋体" w:cs="Arial"/>
          <w:sz w:val="24"/>
          <w:szCs w:val="24"/>
        </w:rPr>
        <w:t>包含质量安全事故、增加投资等损失</w:t>
      </w:r>
      <w:r>
        <w:rPr>
          <w:rFonts w:hAnsi="宋体" w:cs="Arial"/>
          <w:sz w:val="24"/>
          <w:szCs w:val="24"/>
        </w:rPr>
        <w:t>)</w:t>
      </w:r>
      <w:r>
        <w:rPr>
          <w:rFonts w:hint="eastAsia" w:hAnsi="宋体" w:cs="Arial"/>
          <w:sz w:val="24"/>
          <w:szCs w:val="24"/>
        </w:rPr>
        <w:t>。在施工过程中，项目经理如不到位，则在维修及安装工程款中扣除</w:t>
      </w:r>
      <w:r>
        <w:rPr>
          <w:rFonts w:hAnsi="宋体" w:cs="Arial"/>
          <w:sz w:val="24"/>
          <w:szCs w:val="24"/>
        </w:rPr>
        <w:t>2%</w:t>
      </w:r>
      <w:r>
        <w:rPr>
          <w:rFonts w:hint="eastAsia" w:hAnsi="宋体" w:cs="Arial"/>
          <w:sz w:val="24"/>
          <w:szCs w:val="24"/>
        </w:rPr>
        <w:t>作为处罚，造成损失的，按实际发生额赔偿。</w:t>
      </w:r>
    </w:p>
    <w:p>
      <w:pPr>
        <w:pStyle w:val="2"/>
        <w:numPr>
          <w:ilvl w:val="0"/>
          <w:numId w:val="5"/>
        </w:numPr>
        <w:adjustRightInd w:val="0"/>
        <w:snapToGrid w:val="0"/>
        <w:spacing w:line="440" w:lineRule="exact"/>
        <w:ind w:left="444" w:hanging="444" w:hangingChars="185"/>
        <w:rPr>
          <w:rFonts w:hAnsi="宋体" w:cs="Arial"/>
          <w:sz w:val="24"/>
          <w:szCs w:val="24"/>
        </w:rPr>
      </w:pPr>
      <w:r>
        <w:rPr>
          <w:rFonts w:hint="eastAsia" w:hAnsi="宋体" w:cs="Arial"/>
          <w:sz w:val="24"/>
          <w:szCs w:val="24"/>
        </w:rPr>
        <w:t>在维修安装工程进行中，中标人要注意保护场内的各种管线和设施。若有任何损坏，须立即通知有关部门和采购人，并由损坏单位承担损失和修复费用。</w:t>
      </w:r>
    </w:p>
    <w:bookmarkEnd w:id="8"/>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suff w:val="nothing"/>
      <w:lvlText w:val="%1、"/>
      <w:lvlJc w:val="left"/>
      <w:pPr>
        <w:ind w:left="142"/>
      </w:pPr>
      <w:rPr>
        <w:rFonts w:cs="Times New Roman"/>
      </w:rPr>
    </w:lvl>
    <w:lvl w:ilvl="1" w:tentative="0">
      <w:start w:val="1"/>
      <w:numFmt w:val="decimal"/>
      <w:lvlText w:val="%2."/>
      <w:lvlJc w:val="left"/>
      <w:pPr>
        <w:tabs>
          <w:tab w:val="left" w:pos="1582"/>
        </w:tabs>
        <w:ind w:left="1582" w:hanging="360"/>
      </w:pPr>
      <w:rPr>
        <w:rFonts w:cs="Times New Roman"/>
      </w:rPr>
    </w:lvl>
    <w:lvl w:ilvl="2" w:tentative="0">
      <w:start w:val="1"/>
      <w:numFmt w:val="decimal"/>
      <w:lvlText w:val="%3."/>
      <w:lvlJc w:val="left"/>
      <w:pPr>
        <w:tabs>
          <w:tab w:val="left" w:pos="2302"/>
        </w:tabs>
        <w:ind w:left="2302" w:hanging="360"/>
      </w:pPr>
      <w:rPr>
        <w:rFonts w:cs="Times New Roman"/>
      </w:rPr>
    </w:lvl>
    <w:lvl w:ilvl="3" w:tentative="0">
      <w:start w:val="1"/>
      <w:numFmt w:val="decimal"/>
      <w:lvlText w:val="%4."/>
      <w:lvlJc w:val="left"/>
      <w:pPr>
        <w:tabs>
          <w:tab w:val="left" w:pos="3022"/>
        </w:tabs>
        <w:ind w:left="3022" w:hanging="360"/>
      </w:pPr>
      <w:rPr>
        <w:rFonts w:cs="Times New Roman"/>
      </w:rPr>
    </w:lvl>
    <w:lvl w:ilvl="4" w:tentative="0">
      <w:start w:val="1"/>
      <w:numFmt w:val="decimal"/>
      <w:lvlText w:val="%5."/>
      <w:lvlJc w:val="left"/>
      <w:pPr>
        <w:tabs>
          <w:tab w:val="left" w:pos="3742"/>
        </w:tabs>
        <w:ind w:left="3742" w:hanging="360"/>
      </w:pPr>
      <w:rPr>
        <w:rFonts w:cs="Times New Roman"/>
      </w:rPr>
    </w:lvl>
    <w:lvl w:ilvl="5" w:tentative="0">
      <w:start w:val="1"/>
      <w:numFmt w:val="decimal"/>
      <w:lvlText w:val="%6."/>
      <w:lvlJc w:val="left"/>
      <w:pPr>
        <w:tabs>
          <w:tab w:val="left" w:pos="4462"/>
        </w:tabs>
        <w:ind w:left="4462" w:hanging="360"/>
      </w:pPr>
      <w:rPr>
        <w:rFonts w:cs="Times New Roman"/>
      </w:rPr>
    </w:lvl>
    <w:lvl w:ilvl="6" w:tentative="0">
      <w:start w:val="1"/>
      <w:numFmt w:val="decimal"/>
      <w:lvlText w:val="%7."/>
      <w:lvlJc w:val="left"/>
      <w:pPr>
        <w:tabs>
          <w:tab w:val="left" w:pos="5182"/>
        </w:tabs>
        <w:ind w:left="5182" w:hanging="360"/>
      </w:pPr>
      <w:rPr>
        <w:rFonts w:cs="Times New Roman"/>
      </w:rPr>
    </w:lvl>
    <w:lvl w:ilvl="7" w:tentative="0">
      <w:start w:val="1"/>
      <w:numFmt w:val="decimal"/>
      <w:lvlText w:val="%8."/>
      <w:lvlJc w:val="left"/>
      <w:pPr>
        <w:tabs>
          <w:tab w:val="left" w:pos="5902"/>
        </w:tabs>
        <w:ind w:left="5902" w:hanging="360"/>
      </w:pPr>
      <w:rPr>
        <w:rFonts w:cs="Times New Roman"/>
      </w:rPr>
    </w:lvl>
    <w:lvl w:ilvl="8" w:tentative="0">
      <w:start w:val="1"/>
      <w:numFmt w:val="decimal"/>
      <w:lvlText w:val="%9."/>
      <w:lvlJc w:val="left"/>
      <w:pPr>
        <w:tabs>
          <w:tab w:val="left" w:pos="6622"/>
        </w:tabs>
        <w:ind w:left="6622" w:hanging="360"/>
      </w:pPr>
      <w:rPr>
        <w:rFonts w:cs="Times New Roman"/>
      </w:rPr>
    </w:lvl>
  </w:abstractNum>
  <w:abstractNum w:abstractNumId="1">
    <w:nsid w:val="00000014"/>
    <w:multiLevelType w:val="multilevel"/>
    <w:tmpl w:val="00000014"/>
    <w:lvl w:ilvl="0" w:tentative="0">
      <w:start w:val="1"/>
      <w:numFmt w:val="decimal"/>
      <w:suff w:val="nothing"/>
      <w:lvlText w:val="%1、"/>
      <w:lvlJc w:val="left"/>
      <w:rPr>
        <w:rFonts w:cs="Times New Roman"/>
      </w:rPr>
    </w:lvl>
    <w:lvl w:ilvl="1" w:tentative="0">
      <w:start w:val="1"/>
      <w:numFmt w:val="decimal"/>
      <w:lvlText w:val="%2."/>
      <w:lvlJc w:val="left"/>
      <w:pPr>
        <w:tabs>
          <w:tab w:val="left" w:pos="-1113"/>
        </w:tabs>
        <w:ind w:left="-1113" w:hanging="360"/>
      </w:pPr>
      <w:rPr>
        <w:rFonts w:cs="Times New Roman"/>
      </w:rPr>
    </w:lvl>
    <w:lvl w:ilvl="2" w:tentative="0">
      <w:start w:val="1"/>
      <w:numFmt w:val="decimal"/>
      <w:lvlText w:val="%3."/>
      <w:lvlJc w:val="left"/>
      <w:pPr>
        <w:tabs>
          <w:tab w:val="left" w:pos="-393"/>
        </w:tabs>
        <w:ind w:left="-393" w:hanging="360"/>
      </w:pPr>
      <w:rPr>
        <w:rFonts w:cs="Times New Roman"/>
      </w:rPr>
    </w:lvl>
    <w:lvl w:ilvl="3" w:tentative="0">
      <w:start w:val="1"/>
      <w:numFmt w:val="decimal"/>
      <w:lvlText w:val="%4."/>
      <w:lvlJc w:val="left"/>
      <w:pPr>
        <w:tabs>
          <w:tab w:val="left" w:pos="327"/>
        </w:tabs>
        <w:ind w:left="327" w:hanging="360"/>
      </w:pPr>
      <w:rPr>
        <w:rFonts w:cs="Times New Roman"/>
      </w:rPr>
    </w:lvl>
    <w:lvl w:ilvl="4" w:tentative="0">
      <w:start w:val="1"/>
      <w:numFmt w:val="decimal"/>
      <w:lvlText w:val="%5."/>
      <w:lvlJc w:val="left"/>
      <w:pPr>
        <w:tabs>
          <w:tab w:val="left" w:pos="1047"/>
        </w:tabs>
        <w:ind w:left="1047" w:hanging="360"/>
      </w:pPr>
      <w:rPr>
        <w:rFonts w:cs="Times New Roman"/>
      </w:rPr>
    </w:lvl>
    <w:lvl w:ilvl="5" w:tentative="0">
      <w:start w:val="1"/>
      <w:numFmt w:val="decimal"/>
      <w:lvlText w:val="%6."/>
      <w:lvlJc w:val="left"/>
      <w:pPr>
        <w:tabs>
          <w:tab w:val="left" w:pos="1767"/>
        </w:tabs>
        <w:ind w:left="1767" w:hanging="360"/>
      </w:pPr>
      <w:rPr>
        <w:rFonts w:cs="Times New Roman"/>
      </w:rPr>
    </w:lvl>
    <w:lvl w:ilvl="6" w:tentative="0">
      <w:start w:val="1"/>
      <w:numFmt w:val="decimal"/>
      <w:lvlText w:val="%7."/>
      <w:lvlJc w:val="left"/>
      <w:pPr>
        <w:tabs>
          <w:tab w:val="left" w:pos="2487"/>
        </w:tabs>
        <w:ind w:left="2487" w:hanging="360"/>
      </w:pPr>
      <w:rPr>
        <w:rFonts w:cs="Times New Roman"/>
      </w:rPr>
    </w:lvl>
    <w:lvl w:ilvl="7" w:tentative="0">
      <w:start w:val="1"/>
      <w:numFmt w:val="decimal"/>
      <w:lvlText w:val="%8."/>
      <w:lvlJc w:val="left"/>
      <w:pPr>
        <w:tabs>
          <w:tab w:val="left" w:pos="3207"/>
        </w:tabs>
        <w:ind w:left="3207" w:hanging="360"/>
      </w:pPr>
      <w:rPr>
        <w:rFonts w:cs="Times New Roman"/>
      </w:rPr>
    </w:lvl>
    <w:lvl w:ilvl="8" w:tentative="0">
      <w:start w:val="1"/>
      <w:numFmt w:val="decimal"/>
      <w:lvlText w:val="%9."/>
      <w:lvlJc w:val="left"/>
      <w:pPr>
        <w:tabs>
          <w:tab w:val="left" w:pos="3927"/>
        </w:tabs>
        <w:ind w:left="3927" w:hanging="360"/>
      </w:pPr>
      <w:rPr>
        <w:rFonts w:cs="Times New Roman"/>
      </w:rPr>
    </w:lvl>
  </w:abstractNum>
  <w:abstractNum w:abstractNumId="2">
    <w:nsid w:val="0000001B"/>
    <w:multiLevelType w:val="multilevel"/>
    <w:tmpl w:val="0000001B"/>
    <w:lvl w:ilvl="0" w:tentative="0">
      <w:start w:val="3"/>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00000020"/>
    <w:multiLevelType w:val="multilevel"/>
    <w:tmpl w:val="00000020"/>
    <w:lvl w:ilvl="0" w:tentative="0">
      <w:start w:val="1"/>
      <w:numFmt w:val="decimal"/>
      <w:suff w:val="nothing"/>
      <w:lvlText w:val="%1、"/>
      <w:lvlJc w:val="left"/>
      <w:pPr>
        <w:ind w:left="142"/>
      </w:pPr>
      <w:rPr>
        <w:rFonts w:cs="Times New Roman"/>
      </w:rPr>
    </w:lvl>
    <w:lvl w:ilvl="1" w:tentative="0">
      <w:start w:val="1"/>
      <w:numFmt w:val="decimal"/>
      <w:lvlText w:val="%2."/>
      <w:lvlJc w:val="left"/>
      <w:pPr>
        <w:tabs>
          <w:tab w:val="left" w:pos="1582"/>
        </w:tabs>
        <w:ind w:left="1582" w:hanging="360"/>
      </w:pPr>
      <w:rPr>
        <w:rFonts w:cs="Times New Roman"/>
      </w:rPr>
    </w:lvl>
    <w:lvl w:ilvl="2" w:tentative="0">
      <w:start w:val="1"/>
      <w:numFmt w:val="decimal"/>
      <w:lvlText w:val="%3."/>
      <w:lvlJc w:val="left"/>
      <w:pPr>
        <w:tabs>
          <w:tab w:val="left" w:pos="2302"/>
        </w:tabs>
        <w:ind w:left="2302" w:hanging="360"/>
      </w:pPr>
      <w:rPr>
        <w:rFonts w:cs="Times New Roman"/>
      </w:rPr>
    </w:lvl>
    <w:lvl w:ilvl="3" w:tentative="0">
      <w:start w:val="1"/>
      <w:numFmt w:val="decimal"/>
      <w:lvlText w:val="%4."/>
      <w:lvlJc w:val="left"/>
      <w:pPr>
        <w:tabs>
          <w:tab w:val="left" w:pos="3022"/>
        </w:tabs>
        <w:ind w:left="3022" w:hanging="360"/>
      </w:pPr>
      <w:rPr>
        <w:rFonts w:cs="Times New Roman"/>
      </w:rPr>
    </w:lvl>
    <w:lvl w:ilvl="4" w:tentative="0">
      <w:start w:val="1"/>
      <w:numFmt w:val="decimal"/>
      <w:lvlText w:val="%5."/>
      <w:lvlJc w:val="left"/>
      <w:pPr>
        <w:tabs>
          <w:tab w:val="left" w:pos="3742"/>
        </w:tabs>
        <w:ind w:left="3742" w:hanging="360"/>
      </w:pPr>
      <w:rPr>
        <w:rFonts w:cs="Times New Roman"/>
      </w:rPr>
    </w:lvl>
    <w:lvl w:ilvl="5" w:tentative="0">
      <w:start w:val="1"/>
      <w:numFmt w:val="decimal"/>
      <w:lvlText w:val="%6."/>
      <w:lvlJc w:val="left"/>
      <w:pPr>
        <w:tabs>
          <w:tab w:val="left" w:pos="4462"/>
        </w:tabs>
        <w:ind w:left="4462" w:hanging="360"/>
      </w:pPr>
      <w:rPr>
        <w:rFonts w:cs="Times New Roman"/>
      </w:rPr>
    </w:lvl>
    <w:lvl w:ilvl="6" w:tentative="0">
      <w:start w:val="1"/>
      <w:numFmt w:val="decimal"/>
      <w:lvlText w:val="%7."/>
      <w:lvlJc w:val="left"/>
      <w:pPr>
        <w:tabs>
          <w:tab w:val="left" w:pos="5182"/>
        </w:tabs>
        <w:ind w:left="5182" w:hanging="360"/>
      </w:pPr>
      <w:rPr>
        <w:rFonts w:cs="Times New Roman"/>
      </w:rPr>
    </w:lvl>
    <w:lvl w:ilvl="7" w:tentative="0">
      <w:start w:val="1"/>
      <w:numFmt w:val="decimal"/>
      <w:lvlText w:val="%8."/>
      <w:lvlJc w:val="left"/>
      <w:pPr>
        <w:tabs>
          <w:tab w:val="left" w:pos="5902"/>
        </w:tabs>
        <w:ind w:left="5902" w:hanging="360"/>
      </w:pPr>
      <w:rPr>
        <w:rFonts w:cs="Times New Roman"/>
      </w:rPr>
    </w:lvl>
    <w:lvl w:ilvl="8" w:tentative="0">
      <w:start w:val="1"/>
      <w:numFmt w:val="decimal"/>
      <w:lvlText w:val="%9."/>
      <w:lvlJc w:val="left"/>
      <w:pPr>
        <w:tabs>
          <w:tab w:val="left" w:pos="6622"/>
        </w:tabs>
        <w:ind w:left="6622" w:hanging="360"/>
      </w:pPr>
      <w:rPr>
        <w:rFonts w:cs="Times New Roman"/>
      </w:rPr>
    </w:lvl>
  </w:abstractNum>
  <w:abstractNum w:abstractNumId="4">
    <w:nsid w:val="6E810EFE"/>
    <w:multiLevelType w:val="multilevel"/>
    <w:tmpl w:val="6E810EFE"/>
    <w:lvl w:ilvl="0" w:tentative="0">
      <w:start w:val="1"/>
      <w:numFmt w:val="decimal"/>
      <w:lvlText w:val="%1）"/>
      <w:lvlJc w:val="left"/>
      <w:pPr>
        <w:tabs>
          <w:tab w:val="left" w:pos="644"/>
        </w:tabs>
        <w:ind w:left="644" w:hanging="360"/>
      </w:pPr>
      <w:rPr>
        <w:rFonts w:hint="eastAsia" w:cs="Times New Roman"/>
        <w:color w:val="000000"/>
      </w:rPr>
    </w:lvl>
    <w:lvl w:ilvl="1" w:tentative="0">
      <w:start w:val="1"/>
      <w:numFmt w:val="decimal"/>
      <w:lvlText w:val="%2."/>
      <w:lvlJc w:val="left"/>
      <w:pPr>
        <w:tabs>
          <w:tab w:val="left" w:pos="1440"/>
        </w:tabs>
        <w:ind w:left="1440" w:hanging="360"/>
      </w:pPr>
      <w:rPr>
        <w:rFonts w:hint="eastAsia" w:cs="Times New Roman"/>
      </w:rPr>
    </w:lvl>
    <w:lvl w:ilvl="2" w:tentative="0">
      <w:start w:val="1"/>
      <w:numFmt w:val="decimal"/>
      <w:lvlText w:val="%3."/>
      <w:lvlJc w:val="left"/>
      <w:pPr>
        <w:tabs>
          <w:tab w:val="left" w:pos="2160"/>
        </w:tabs>
        <w:ind w:left="2160" w:hanging="360"/>
      </w:pPr>
      <w:rPr>
        <w:rFonts w:hint="eastAsia" w:cs="Times New Roman"/>
      </w:rPr>
    </w:lvl>
    <w:lvl w:ilvl="3" w:tentative="0">
      <w:start w:val="1"/>
      <w:numFmt w:val="decimal"/>
      <w:lvlText w:val="%4."/>
      <w:lvlJc w:val="left"/>
      <w:pPr>
        <w:tabs>
          <w:tab w:val="left" w:pos="2880"/>
        </w:tabs>
        <w:ind w:left="2880" w:hanging="360"/>
      </w:pPr>
      <w:rPr>
        <w:rFonts w:hint="eastAsia" w:cs="Times New Roman"/>
      </w:rPr>
    </w:lvl>
    <w:lvl w:ilvl="4" w:tentative="0">
      <w:start w:val="1"/>
      <w:numFmt w:val="decimal"/>
      <w:lvlText w:val="%5."/>
      <w:lvlJc w:val="left"/>
      <w:pPr>
        <w:tabs>
          <w:tab w:val="left" w:pos="3600"/>
        </w:tabs>
        <w:ind w:left="3600" w:hanging="360"/>
      </w:pPr>
      <w:rPr>
        <w:rFonts w:hint="eastAsia" w:cs="Times New Roman"/>
      </w:rPr>
    </w:lvl>
    <w:lvl w:ilvl="5" w:tentative="0">
      <w:start w:val="1"/>
      <w:numFmt w:val="decimal"/>
      <w:lvlText w:val="%6."/>
      <w:lvlJc w:val="left"/>
      <w:pPr>
        <w:tabs>
          <w:tab w:val="left" w:pos="4320"/>
        </w:tabs>
        <w:ind w:left="4320" w:hanging="360"/>
      </w:pPr>
      <w:rPr>
        <w:rFonts w:hint="eastAsia" w:cs="Times New Roman"/>
      </w:rPr>
    </w:lvl>
    <w:lvl w:ilvl="6" w:tentative="0">
      <w:start w:val="1"/>
      <w:numFmt w:val="decimal"/>
      <w:lvlText w:val="%7."/>
      <w:lvlJc w:val="left"/>
      <w:pPr>
        <w:tabs>
          <w:tab w:val="left" w:pos="5040"/>
        </w:tabs>
        <w:ind w:left="5040" w:hanging="360"/>
      </w:pPr>
      <w:rPr>
        <w:rFonts w:hint="eastAsia" w:cs="Times New Roman"/>
      </w:rPr>
    </w:lvl>
    <w:lvl w:ilvl="7" w:tentative="0">
      <w:start w:val="1"/>
      <w:numFmt w:val="decimal"/>
      <w:lvlText w:val="%8."/>
      <w:lvlJc w:val="left"/>
      <w:pPr>
        <w:tabs>
          <w:tab w:val="left" w:pos="5760"/>
        </w:tabs>
        <w:ind w:left="5760" w:hanging="360"/>
      </w:pPr>
      <w:rPr>
        <w:rFonts w:hint="eastAsia" w:cs="Times New Roman"/>
      </w:rPr>
    </w:lvl>
    <w:lvl w:ilvl="8" w:tentative="0">
      <w:start w:val="1"/>
      <w:numFmt w:val="decimal"/>
      <w:lvlText w:val="%9."/>
      <w:lvlJc w:val="left"/>
      <w:pPr>
        <w:tabs>
          <w:tab w:val="left" w:pos="6480"/>
        </w:tabs>
        <w:ind w:left="6480" w:hanging="360"/>
      </w:pPr>
      <w:rPr>
        <w:rFonts w:hint="eastAsia" w:cs="Times New Roman"/>
      </w:rPr>
    </w:lvl>
  </w:abstractNum>
  <w:num w:numId="1">
    <w:abstractNumId w:val="4"/>
  </w:num>
  <w:num w:numId="2">
    <w:abstractNumId w:val="2"/>
  </w:num>
  <w:num w:numId="3">
    <w:abstractNumId w:val="3"/>
    <w:lvlOverride w:ilvl="0">
      <w:startOverride w:val="1"/>
    </w:lvlOverride>
  </w:num>
  <w:num w:numId="4">
    <w:abstractNumId w:val="0"/>
    <w:lvlOverride w:ilvl="0">
      <w:startOverride w:val="1"/>
    </w:lvlOverride>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F02CE9"/>
    <w:rsid w:val="60F97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2022-03-21T03:37:00Z</dcterms:created>
  <dc:creator>sfy</dc:creator>
  <cp:lastModifiedBy>黄秉勋</cp:lastModifiedBy>
  <dcterms:modified xsi:type="dcterms:W3CDTF">2022-03-22T00:37:47Z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