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spacing w:val="-1"/>
          <w:sz w:val="32"/>
          <w:szCs w:val="32"/>
        </w:rPr>
      </w:pPr>
      <w:r>
        <w:rPr>
          <w:rFonts w:ascii="宋体" w:hAnsi="宋体" w:eastAsia="宋体" w:cs="宋体"/>
          <w:b/>
          <w:spacing w:val="-1"/>
          <w:sz w:val="32"/>
          <w:szCs w:val="32"/>
        </w:rPr>
        <w:t>广东省</w:t>
      </w:r>
      <w:r>
        <w:rPr>
          <w:rFonts w:hint="eastAsia" w:ascii="宋体" w:hAnsi="宋体" w:eastAsia="宋体" w:cs="宋体"/>
          <w:b/>
          <w:spacing w:val="-1"/>
          <w:sz w:val="32"/>
          <w:szCs w:val="32"/>
        </w:rPr>
        <w:t>妇幼保健院</w:t>
      </w:r>
      <w:r>
        <w:rPr>
          <w:rFonts w:ascii="宋体" w:hAnsi="宋体" w:eastAsia="宋体" w:cs="宋体"/>
          <w:b/>
          <w:spacing w:val="-1"/>
          <w:sz w:val="32"/>
          <w:szCs w:val="32"/>
        </w:rPr>
        <w:t>绩效管理咨询</w:t>
      </w:r>
      <w:r>
        <w:rPr>
          <w:rFonts w:ascii="宋体" w:hAnsi="宋体" w:eastAsia="宋体" w:cs="宋体"/>
          <w:b/>
          <w:spacing w:val="2"/>
          <w:sz w:val="32"/>
          <w:szCs w:val="32"/>
        </w:rPr>
        <w:t>服</w:t>
      </w:r>
      <w:r>
        <w:rPr>
          <w:rFonts w:ascii="宋体" w:hAnsi="宋体" w:eastAsia="宋体" w:cs="宋体"/>
          <w:b/>
          <w:spacing w:val="-1"/>
          <w:sz w:val="32"/>
          <w:szCs w:val="32"/>
        </w:rPr>
        <w:t>务及配套信息系统</w:t>
      </w:r>
      <w:r>
        <w:rPr>
          <w:rFonts w:hint="eastAsia" w:ascii="宋体" w:hAnsi="宋体" w:eastAsia="宋体" w:cs="宋体"/>
          <w:b/>
          <w:spacing w:val="-1"/>
          <w:sz w:val="32"/>
          <w:szCs w:val="32"/>
          <w:lang w:val="en-US" w:eastAsia="zh-CN"/>
        </w:rPr>
        <w:t>采购</w:t>
      </w:r>
      <w:r>
        <w:rPr>
          <w:rFonts w:hint="eastAsia" w:ascii="宋体" w:hAnsi="宋体" w:eastAsia="宋体" w:cs="宋体"/>
          <w:b/>
          <w:spacing w:val="-1"/>
          <w:sz w:val="32"/>
          <w:szCs w:val="32"/>
        </w:rPr>
        <w:t>用户需求书</w:t>
      </w:r>
    </w:p>
    <w:p>
      <w:pPr>
        <w:pStyle w:val="8"/>
        <w:numPr>
          <w:ilvl w:val="0"/>
          <w:numId w:val="1"/>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项目背景</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随着医改的全面深入推进和现代公立医院管理制度的要求，医院内部激励方向也需要转到以劳动价值为核心、统筹效率与公平、确保医院发展需要上来。《关于加强三级公立医院绩效考核工作的意见》（国办发〔2019〕4号）明确通过绩效考核，推动三级公立医院在发展方式上由规模扩张型转向质量效益型，在管理模式上由粗放的行政化管理转向全方位的绩效管理，促进收入分配更科学、更公平，实现效率提高和质量提升，促进公立医院综合改革政策落地见效。医院绩效管理改革计划重新构建绩效管理体系，建立符合医疗行业特点、体现以公益性、知识价值为导向的公立医院薪酬制度，以工作量、服务质量、技术能力、风险程度、服务对象满意度等为要素的医务人员绩效考核机制，兼顾学科平衡，做到多劳多得、优绩优酬，充分调动医务人员的积极性、主动性、创造性，稳步推进医院各项事业的发展和进步。</w:t>
      </w:r>
    </w:p>
    <w:p>
      <w:pPr>
        <w:spacing w:line="360" w:lineRule="auto"/>
        <w:rPr>
          <w:rFonts w:ascii="宋体" w:hAnsi="宋体" w:eastAsia="宋体" w:cs="宋体"/>
          <w:spacing w:val="-1"/>
          <w:sz w:val="24"/>
          <w:szCs w:val="24"/>
        </w:rPr>
      </w:pPr>
    </w:p>
    <w:p>
      <w:pPr>
        <w:pStyle w:val="8"/>
        <w:numPr>
          <w:ilvl w:val="0"/>
          <w:numId w:val="1"/>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项目需求</w:t>
      </w:r>
    </w:p>
    <w:p>
      <w:pPr>
        <w:pStyle w:val="8"/>
        <w:numPr>
          <w:ilvl w:val="0"/>
          <w:numId w:val="2"/>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总原则</w:t>
      </w:r>
    </w:p>
    <w:p>
      <w:pPr>
        <w:autoSpaceDE w:val="0"/>
        <w:autoSpaceDN w:val="0"/>
        <w:adjustRightInd w:val="0"/>
        <w:spacing w:line="360" w:lineRule="auto"/>
        <w:ind w:firstLine="476" w:firstLineChars="200"/>
        <w:jc w:val="left"/>
        <w:rPr>
          <w:rFonts w:ascii="宋体" w:hAnsi="宋体" w:eastAsia="宋体" w:cs="宋体"/>
          <w:spacing w:val="-1"/>
          <w:sz w:val="24"/>
          <w:szCs w:val="24"/>
        </w:rPr>
      </w:pPr>
      <w:r>
        <w:rPr>
          <w:rFonts w:hint="eastAsia" w:ascii="宋体" w:hAnsi="宋体" w:eastAsia="宋体" w:cs="宋体"/>
          <w:spacing w:val="-1"/>
          <w:sz w:val="24"/>
          <w:szCs w:val="24"/>
        </w:rPr>
        <w:t>所设计的绩效方案应当满足医疗机构工作人员廉洁从业九项准则，医务人员合法按劳取酬，不接受商业提成，不参与欺诈骗保，不实施过度诊疗等要求。</w:t>
      </w:r>
      <w:r>
        <w:rPr>
          <w:rFonts w:hint="eastAsia" w:ascii="宋体" w:eastAsia="宋体" w:cs="宋体"/>
          <w:kern w:val="0"/>
          <w:sz w:val="24"/>
          <w:szCs w:val="24"/>
        </w:rPr>
        <w:t>以医院战略发展目标为指引，基于对医院管理及运营现状梳理、分析及诊断，提出管理建议及绩效改革思路</w:t>
      </w:r>
      <w:r>
        <w:rPr>
          <w:rFonts w:hint="eastAsia" w:ascii="宋体" w:hAnsi="宋体" w:eastAsia="宋体" w:cs="宋体"/>
          <w:spacing w:val="-1"/>
          <w:sz w:val="24"/>
          <w:szCs w:val="24"/>
        </w:rPr>
        <w:t>。绩效方案采用本地化的国际通行的医务人员劳动价值评价方法，与医院发展的阶段、专业特点、科室分工相匹配，</w:t>
      </w:r>
      <w:r>
        <w:rPr>
          <w:rFonts w:hint="eastAsia" w:ascii="宋体" w:eastAsia="宋体" w:cs="宋体"/>
          <w:kern w:val="0"/>
          <w:sz w:val="24"/>
          <w:szCs w:val="24"/>
        </w:rPr>
        <w:t>最终形成的绩效方案清晰、可自测、透明、合理、相对公平。</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配套的绩效系统界面友好，易操作</w:t>
      </w:r>
      <w:r>
        <w:rPr>
          <w:rFonts w:hint="eastAsia" w:ascii="宋体" w:eastAsia="宋体" w:cs="宋体"/>
          <w:kern w:val="0"/>
          <w:sz w:val="24"/>
          <w:szCs w:val="24"/>
        </w:rPr>
        <w:t>。</w:t>
      </w:r>
      <w:r>
        <w:rPr>
          <w:rFonts w:hint="eastAsia"/>
          <w:sz w:val="24"/>
          <w:szCs w:val="24"/>
        </w:rPr>
        <w:t>支持从现有的医院信息系统直接进行数据采集。</w:t>
      </w:r>
      <w:r>
        <w:rPr>
          <w:rFonts w:hint="eastAsia" w:ascii="宋体" w:hAnsi="宋体" w:eastAsia="宋体" w:cs="宋体"/>
          <w:spacing w:val="-1"/>
          <w:sz w:val="24"/>
          <w:szCs w:val="24"/>
        </w:rPr>
        <w:t>提供基于利用严密的身份验证、访问控制、多层次的保密手段等措施，确保系统和数据的安全性和完整性。</w:t>
      </w:r>
    </w:p>
    <w:p>
      <w:pPr>
        <w:spacing w:line="360" w:lineRule="auto"/>
        <w:rPr>
          <w:rFonts w:ascii="宋体" w:hAnsi="宋体" w:eastAsia="宋体" w:cs="宋体"/>
          <w:spacing w:val="-1"/>
          <w:sz w:val="24"/>
          <w:szCs w:val="24"/>
        </w:rPr>
      </w:pPr>
    </w:p>
    <w:p>
      <w:pPr>
        <w:pStyle w:val="8"/>
        <w:numPr>
          <w:ilvl w:val="0"/>
          <w:numId w:val="2"/>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总模块</w:t>
      </w:r>
    </w:p>
    <w:p>
      <w:pPr>
        <w:spacing w:line="360" w:lineRule="auto"/>
        <w:ind w:firstLine="476" w:firstLineChars="200"/>
        <w:rPr>
          <w:rFonts w:ascii="宋体" w:hAnsi="宋体" w:eastAsia="宋体" w:cs="宋体"/>
          <w:spacing w:val="-1"/>
          <w:sz w:val="24"/>
          <w:szCs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5528"/>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Fonts w:ascii="宋体" w:hAnsi="宋体" w:eastAsia="宋体" w:cs="Times New Roman"/>
                <w:b/>
                <w:kern w:val="0"/>
                <w:sz w:val="24"/>
                <w:szCs w:val="24"/>
              </w:rPr>
            </w:pPr>
            <w:r>
              <w:rPr>
                <w:rFonts w:hint="eastAsia" w:ascii="宋体" w:hAnsi="宋体" w:eastAsia="宋体" w:cs="Times New Roman"/>
                <w:b/>
                <w:kern w:val="0"/>
                <w:sz w:val="24"/>
                <w:szCs w:val="24"/>
              </w:rPr>
              <w:t>序号</w:t>
            </w:r>
          </w:p>
        </w:tc>
        <w:tc>
          <w:tcPr>
            <w:tcW w:w="5528" w:type="dxa"/>
            <w:vAlign w:val="center"/>
          </w:tcPr>
          <w:p>
            <w:pPr>
              <w:spacing w:line="360" w:lineRule="auto"/>
              <w:jc w:val="center"/>
              <w:rPr>
                <w:rFonts w:ascii="宋体" w:hAnsi="宋体" w:eastAsia="宋体" w:cs="Times New Roman"/>
                <w:b/>
                <w:kern w:val="0"/>
                <w:sz w:val="24"/>
                <w:szCs w:val="24"/>
              </w:rPr>
            </w:pPr>
            <w:r>
              <w:rPr>
                <w:rFonts w:ascii="宋体" w:hAnsi="宋体" w:eastAsia="宋体" w:cs="Times New Roman"/>
                <w:b/>
                <w:kern w:val="0"/>
                <w:sz w:val="24"/>
                <w:szCs w:val="24"/>
              </w:rPr>
              <w:t>绩效咨询</w:t>
            </w:r>
            <w:r>
              <w:rPr>
                <w:rFonts w:hint="eastAsia" w:ascii="宋体" w:hAnsi="宋体" w:eastAsia="宋体" w:cs="Times New Roman"/>
                <w:b/>
                <w:kern w:val="0"/>
                <w:sz w:val="24"/>
                <w:szCs w:val="24"/>
              </w:rPr>
              <w:t>及配套软件系统</w:t>
            </w:r>
          </w:p>
        </w:tc>
        <w:tc>
          <w:tcPr>
            <w:tcW w:w="1922" w:type="dxa"/>
            <w:vAlign w:val="center"/>
          </w:tcPr>
          <w:p>
            <w:pPr>
              <w:spacing w:line="360" w:lineRule="auto"/>
              <w:jc w:val="center"/>
              <w:rPr>
                <w:rFonts w:ascii="宋体" w:hAnsi="宋体" w:eastAsia="宋体" w:cs="Times New Roman"/>
                <w:b/>
                <w:kern w:val="0"/>
                <w:sz w:val="24"/>
                <w:szCs w:val="24"/>
              </w:rPr>
            </w:pPr>
            <w:r>
              <w:rPr>
                <w:rFonts w:hint="eastAsia" w:ascii="宋体" w:hAnsi="宋体" w:eastAsia="宋体" w:cs="Times New Roman"/>
                <w:b/>
                <w:kern w:val="0"/>
                <w:sz w:val="24"/>
                <w:szCs w:val="24"/>
              </w:rPr>
              <w:t>数量（套）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restart"/>
            <w:vAlign w:val="center"/>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5528" w:type="dxa"/>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临床医生绩效评价方案设计</w:t>
            </w:r>
          </w:p>
        </w:tc>
        <w:tc>
          <w:tcPr>
            <w:tcW w:w="1922" w:type="dxa"/>
            <w:vAlign w:val="center"/>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tcPr>
          <w:p>
            <w:pPr>
              <w:spacing w:line="360" w:lineRule="auto"/>
              <w:jc w:val="center"/>
              <w:rPr>
                <w:rFonts w:ascii="宋体" w:hAnsi="宋体" w:eastAsia="宋体" w:cs="Times New Roman"/>
                <w:kern w:val="0"/>
                <w:sz w:val="24"/>
                <w:szCs w:val="24"/>
              </w:rPr>
            </w:pPr>
          </w:p>
        </w:tc>
        <w:tc>
          <w:tcPr>
            <w:tcW w:w="5528" w:type="dxa"/>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临床护理绩效评价方案设计</w:t>
            </w:r>
          </w:p>
        </w:tc>
        <w:tc>
          <w:tcPr>
            <w:tcW w:w="1922" w:type="dxa"/>
            <w:vAlign w:val="center"/>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tcPr>
          <w:p>
            <w:pPr>
              <w:spacing w:line="360" w:lineRule="auto"/>
              <w:jc w:val="center"/>
              <w:rPr>
                <w:rFonts w:ascii="宋体" w:hAnsi="宋体" w:eastAsia="宋体" w:cs="Times New Roman"/>
                <w:kern w:val="0"/>
                <w:sz w:val="24"/>
                <w:szCs w:val="24"/>
              </w:rPr>
            </w:pPr>
          </w:p>
        </w:tc>
        <w:tc>
          <w:tcPr>
            <w:tcW w:w="5528" w:type="dxa"/>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医技科室绩效评价方案设计</w:t>
            </w:r>
          </w:p>
        </w:tc>
        <w:tc>
          <w:tcPr>
            <w:tcW w:w="1922" w:type="dxa"/>
            <w:vAlign w:val="center"/>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tcPr>
          <w:p>
            <w:pPr>
              <w:spacing w:line="360" w:lineRule="auto"/>
              <w:jc w:val="center"/>
              <w:rPr>
                <w:rFonts w:ascii="宋体" w:hAnsi="宋体" w:eastAsia="宋体" w:cs="Times New Roman"/>
                <w:kern w:val="0"/>
                <w:sz w:val="24"/>
                <w:szCs w:val="24"/>
              </w:rPr>
            </w:pPr>
          </w:p>
        </w:tc>
        <w:tc>
          <w:tcPr>
            <w:tcW w:w="5528" w:type="dxa"/>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科研、教学系列绩效管理方案设计</w:t>
            </w:r>
          </w:p>
        </w:tc>
        <w:tc>
          <w:tcPr>
            <w:tcW w:w="1922" w:type="dxa"/>
            <w:vAlign w:val="center"/>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tcPr>
          <w:p>
            <w:pPr>
              <w:spacing w:line="360" w:lineRule="auto"/>
              <w:jc w:val="center"/>
              <w:rPr>
                <w:rFonts w:ascii="宋体" w:hAnsi="宋体" w:eastAsia="宋体" w:cs="Times New Roman"/>
                <w:kern w:val="0"/>
                <w:sz w:val="24"/>
                <w:szCs w:val="24"/>
              </w:rPr>
            </w:pPr>
          </w:p>
        </w:tc>
        <w:tc>
          <w:tcPr>
            <w:tcW w:w="5528" w:type="dxa"/>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行政职能科室绩效评价方案设计</w:t>
            </w:r>
          </w:p>
        </w:tc>
        <w:tc>
          <w:tcPr>
            <w:tcW w:w="1922" w:type="dxa"/>
            <w:vAlign w:val="center"/>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tcPr>
          <w:p>
            <w:pPr>
              <w:spacing w:line="360" w:lineRule="auto"/>
              <w:jc w:val="center"/>
              <w:rPr>
                <w:rFonts w:ascii="宋体" w:hAnsi="宋体" w:eastAsia="宋体" w:cs="Times New Roman"/>
                <w:kern w:val="0"/>
                <w:sz w:val="24"/>
                <w:szCs w:val="24"/>
              </w:rPr>
            </w:pPr>
          </w:p>
        </w:tc>
        <w:tc>
          <w:tcPr>
            <w:tcW w:w="5528" w:type="dxa"/>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科室二次分配绩效评价方案设计</w:t>
            </w:r>
          </w:p>
        </w:tc>
        <w:tc>
          <w:tcPr>
            <w:tcW w:w="1922" w:type="dxa"/>
            <w:vAlign w:val="center"/>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spacing w:line="36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5528" w:type="dxa"/>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绩效管理软件系统</w:t>
            </w:r>
          </w:p>
        </w:tc>
        <w:tc>
          <w:tcPr>
            <w:tcW w:w="1922" w:type="dxa"/>
            <w:vAlign w:val="center"/>
          </w:tcPr>
          <w:p>
            <w:pPr>
              <w:spacing w:line="36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r>
    </w:tbl>
    <w:p>
      <w:pPr>
        <w:spacing w:line="360" w:lineRule="auto"/>
        <w:ind w:firstLine="476" w:firstLineChars="200"/>
        <w:rPr>
          <w:rFonts w:ascii="宋体" w:hAnsi="宋体" w:eastAsia="宋体" w:cs="宋体"/>
          <w:spacing w:val="-1"/>
          <w:sz w:val="24"/>
          <w:szCs w:val="24"/>
        </w:rPr>
      </w:pPr>
    </w:p>
    <w:p>
      <w:pPr>
        <w:pStyle w:val="8"/>
        <w:numPr>
          <w:ilvl w:val="0"/>
          <w:numId w:val="2"/>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绩效方案具体需求</w:t>
      </w:r>
    </w:p>
    <w:p>
      <w:pPr>
        <w:autoSpaceDE w:val="0"/>
        <w:autoSpaceDN w:val="0"/>
        <w:adjustRightInd w:val="0"/>
        <w:spacing w:line="360" w:lineRule="auto"/>
        <w:ind w:firstLine="476" w:firstLineChars="200"/>
        <w:jc w:val="left"/>
        <w:rPr>
          <w:rFonts w:ascii="宋体" w:eastAsia="宋体" w:cs="宋体"/>
          <w:kern w:val="0"/>
          <w:sz w:val="24"/>
          <w:szCs w:val="24"/>
        </w:rPr>
      </w:pPr>
      <w:r>
        <w:rPr>
          <w:rFonts w:hint="eastAsia" w:ascii="宋体" w:hAnsi="宋体" w:eastAsia="宋体" w:cs="宋体"/>
          <w:spacing w:val="-1"/>
          <w:sz w:val="24"/>
          <w:szCs w:val="24"/>
        </w:rPr>
        <w:t>1、</w:t>
      </w:r>
      <w:r>
        <w:rPr>
          <w:rFonts w:hint="eastAsia" w:ascii="宋体" w:eastAsia="宋体" w:cs="宋体"/>
          <w:kern w:val="0"/>
          <w:sz w:val="24"/>
          <w:szCs w:val="24"/>
        </w:rPr>
        <w:t>以医疗、科研、教学、管理等作为业务分类分别设置医疗、医技、护理、行政后勤等不同人员类别考核指标，实现考核指标的立体化、个性化。</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2、设计一套符合省妇幼的科研、教学系列的绩效方案，主要针对专职科研人员以及规培生带教导师，根据历史绩效水平和工作量，并充分考虑与医护技科室的绩效工资水平差距。</w:t>
      </w:r>
    </w:p>
    <w:p>
      <w:pPr>
        <w:autoSpaceDE w:val="0"/>
        <w:autoSpaceDN w:val="0"/>
        <w:adjustRightInd w:val="0"/>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3、对于行政后勤人员，通过</w:t>
      </w:r>
      <w:r>
        <w:rPr>
          <w:rFonts w:hint="eastAsia" w:ascii="宋体" w:eastAsia="宋体" w:cs="宋体"/>
          <w:kern w:val="0"/>
          <w:sz w:val="24"/>
          <w:szCs w:val="24"/>
        </w:rPr>
        <w:t>定编定岗，明确岗位职责、任务，建立科学、客观的岗位评价体系，并以此为依据设计一套能体现岗位差异的绩效方案。</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4、依据CMI-RBRVS的方法把全院的临床医疗项目设定点数，作为衡量医师、护理、医技人员的工作量的基准。同时体现服务量因素，把门诊人次、出院人次、手术人次、占床日数、检查化验人次等量化为绩效点数。医生绩效点数可按医疗组取值。对各护理单元有客观评价方案和方法，确定护理单元的之间的劳动差别。方案中应当设计体现医护分开后仍能保持医、护之间高效合作的方法，方法具有可操作性和公平性。方案中应当体现临床医生在研判分析检查、检验结果的劳动付出，但是不能以检查和检验项目的收入衡量医务人员的劳动付出。</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5、成本要求：（1）科室成本纳入绩效工资核算。科室直接的固定成本与直接的变动成本的比例可由医院个性化调整。（2）由于不同科室的成本项目因周期性波动，数值比较大，系统能支持对个别月的成本进行预提待摊处理，以消除波动性给科室带来的绩效巨大振幅，保证科室业务正常运转。</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6、对于当年新成立的临床科室，能结合医院的发展，提供新开科室第一年的扶持政策方案，促使新开科室顺利运作。</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7、支持开展新技术，对新技术的点数可个性化调整，促使新技术良性开展。</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8、根据医院的战略目标，设计符合医院发展阶段的单项奖励方案，比如四级手术奖、日间手术奖、人均医疗服务绩效奖。</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9、对于业务辅助科室，比如收费处、药学部和供应室等的科室，根据历史绩效水平和工作量，利用历史数据回归测算，测定每个工作项目（无医疗项目）的点数和点价格，并充分考虑与医护技科室的绩效工资水平差距，尊重历史绩效工资水平合理分配。</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10、在科室二次分配上，结合绩效考核与评价体系，制定科学、合理的绩效分配方案，给科室提供二次分配指导意见。各科室可通过软件系统把二次分配方案上传至绩效管理部门，审核后发放。</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11、对绩效结果运用上，将绩效考评结果与科室成本管控、科室绩效、评优评先、科室负责人岗位绩效发放等挂钩，将个人绩效考评结果与个人绩效、职务晋升、员工培训、个人发展计划等挂钩。</w:t>
      </w:r>
    </w:p>
    <w:p>
      <w:pPr>
        <w:spacing w:line="360" w:lineRule="auto"/>
        <w:ind w:firstLine="478" w:firstLineChars="200"/>
        <w:rPr>
          <w:rFonts w:ascii="宋体" w:hAnsi="宋体" w:eastAsia="宋体" w:cs="宋体"/>
          <w:b/>
          <w:spacing w:val="-1"/>
          <w:sz w:val="24"/>
          <w:szCs w:val="24"/>
        </w:rPr>
      </w:pPr>
    </w:p>
    <w:p>
      <w:pPr>
        <w:pStyle w:val="8"/>
        <w:numPr>
          <w:ilvl w:val="0"/>
          <w:numId w:val="2"/>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绩效配套软件的具体需求</w:t>
      </w:r>
    </w:p>
    <w:p>
      <w:pPr>
        <w:spacing w:line="360" w:lineRule="auto"/>
        <w:ind w:firstLine="480" w:firstLineChars="200"/>
        <w:rPr>
          <w:rFonts w:ascii="宋体" w:eastAsia="宋体" w:cs="宋体"/>
          <w:kern w:val="0"/>
          <w:sz w:val="24"/>
          <w:szCs w:val="24"/>
        </w:rPr>
      </w:pPr>
      <w:r>
        <w:rPr>
          <w:rFonts w:hint="eastAsia" w:ascii="宋体" w:eastAsia="宋体" w:cs="宋体"/>
          <w:kern w:val="0"/>
          <w:sz w:val="24"/>
          <w:szCs w:val="24"/>
        </w:rPr>
        <w:t>绩效软件包括但不限于以下功能，主要包括：</w:t>
      </w:r>
    </w:p>
    <w:p>
      <w:pPr>
        <w:autoSpaceDE w:val="0"/>
        <w:autoSpaceDN w:val="0"/>
        <w:adjustRightInd w:val="0"/>
        <w:spacing w:line="360" w:lineRule="auto"/>
        <w:ind w:firstLine="480" w:firstLineChars="200"/>
        <w:jc w:val="left"/>
        <w:rPr>
          <w:rFonts w:ascii="宋体" w:hAnsi="宋体" w:eastAsia="宋体" w:cs="宋体"/>
          <w:spacing w:val="-1"/>
          <w:sz w:val="24"/>
          <w:szCs w:val="24"/>
        </w:rPr>
      </w:pPr>
      <w:r>
        <w:rPr>
          <w:rFonts w:hint="eastAsia" w:ascii="宋体" w:eastAsia="宋体" w:cs="宋体"/>
          <w:kern w:val="0"/>
          <w:sz w:val="24"/>
          <w:szCs w:val="24"/>
        </w:rPr>
        <w:t>1、建立符合广东省妇幼保健院专科医院实际的</w:t>
      </w:r>
      <w:r>
        <w:rPr>
          <w:rFonts w:ascii="宋体" w:eastAsia="宋体" w:cs="宋体"/>
          <w:kern w:val="0"/>
          <w:sz w:val="24"/>
          <w:szCs w:val="24"/>
        </w:rPr>
        <w:t>RBRVS(</w:t>
      </w:r>
      <w:r>
        <w:rPr>
          <w:rFonts w:hint="eastAsia" w:ascii="宋体" w:eastAsia="宋体" w:cs="宋体"/>
          <w:kern w:val="0"/>
          <w:sz w:val="24"/>
          <w:szCs w:val="24"/>
        </w:rPr>
        <w:t>以资源为基础相对价值</w:t>
      </w:r>
      <w:r>
        <w:rPr>
          <w:rFonts w:ascii="宋体" w:eastAsia="宋体" w:cs="宋体"/>
          <w:kern w:val="0"/>
          <w:sz w:val="24"/>
          <w:szCs w:val="24"/>
        </w:rPr>
        <w:t>)</w:t>
      </w:r>
      <w:r>
        <w:rPr>
          <w:rFonts w:hint="eastAsia" w:ascii="宋体" w:eastAsia="宋体" w:cs="宋体"/>
          <w:kern w:val="0"/>
          <w:sz w:val="24"/>
          <w:szCs w:val="24"/>
        </w:rPr>
        <w:t>数据字典根据医院绩效考核需要，修改或拓展项目范围，并提供后续的更新、升级服务。</w:t>
      </w:r>
    </w:p>
    <w:p>
      <w:pPr>
        <w:autoSpaceDE w:val="0"/>
        <w:autoSpaceDN w:val="0"/>
        <w:adjustRightInd w:val="0"/>
        <w:spacing w:line="360" w:lineRule="auto"/>
        <w:ind w:firstLine="480" w:firstLineChars="200"/>
        <w:jc w:val="left"/>
        <w:rPr>
          <w:rFonts w:ascii="宋体" w:hAnsi="宋体" w:eastAsia="宋体" w:cs="宋体"/>
          <w:spacing w:val="-1"/>
          <w:sz w:val="24"/>
          <w:szCs w:val="24"/>
        </w:rPr>
      </w:pPr>
      <w:r>
        <w:rPr>
          <w:rFonts w:hint="eastAsia" w:ascii="宋体" w:eastAsia="宋体" w:cs="宋体"/>
          <w:kern w:val="0"/>
          <w:sz w:val="24"/>
          <w:szCs w:val="24"/>
        </w:rPr>
        <w:t>2、与现有医院信息系统进行数据交换，包括但不限于医院信息集成平台、医院现有数据中心、各业务子系统（例如</w:t>
      </w:r>
      <w:r>
        <w:rPr>
          <w:rFonts w:ascii="宋体" w:eastAsia="宋体" w:cs="宋体"/>
          <w:kern w:val="0"/>
          <w:sz w:val="24"/>
          <w:szCs w:val="24"/>
        </w:rPr>
        <w:t>LIS</w:t>
      </w:r>
      <w:r>
        <w:rPr>
          <w:rFonts w:hint="eastAsia" w:ascii="宋体" w:eastAsia="宋体" w:cs="宋体"/>
          <w:kern w:val="0"/>
          <w:sz w:val="24"/>
          <w:szCs w:val="24"/>
        </w:rPr>
        <w:t>、</w:t>
      </w:r>
      <w:r>
        <w:rPr>
          <w:rFonts w:ascii="宋体" w:eastAsia="宋体" w:cs="宋体"/>
          <w:kern w:val="0"/>
          <w:sz w:val="24"/>
          <w:szCs w:val="24"/>
        </w:rPr>
        <w:t>PACS</w:t>
      </w:r>
      <w:r>
        <w:rPr>
          <w:rFonts w:hint="eastAsia" w:ascii="宋体" w:eastAsia="宋体" w:cs="宋体"/>
          <w:kern w:val="0"/>
          <w:sz w:val="24"/>
          <w:szCs w:val="24"/>
        </w:rPr>
        <w:t>、</w:t>
      </w:r>
      <w:r>
        <w:rPr>
          <w:rFonts w:ascii="宋体" w:eastAsia="宋体" w:cs="宋体"/>
          <w:kern w:val="0"/>
          <w:sz w:val="24"/>
          <w:szCs w:val="24"/>
        </w:rPr>
        <w:t>HIS</w:t>
      </w:r>
      <w:r>
        <w:rPr>
          <w:rFonts w:hint="eastAsia" w:ascii="宋体" w:eastAsia="宋体" w:cs="宋体"/>
          <w:kern w:val="0"/>
          <w:sz w:val="24"/>
          <w:szCs w:val="24"/>
        </w:rPr>
        <w:t>、手麻、护理、病历系统等），简化数据处理流程，减轻工作量，提高执行效率，保证数据准确性与安全性。</w:t>
      </w:r>
      <w:r>
        <w:rPr>
          <w:rFonts w:hint="eastAsia" w:ascii="宋体" w:hAnsi="宋体" w:eastAsia="宋体" w:cs="宋体"/>
          <w:spacing w:val="-1"/>
          <w:sz w:val="24"/>
          <w:szCs w:val="24"/>
        </w:rPr>
        <w:t xml:space="preserve">部分特殊的数据支持手工录入且具备接收符合模板要求的EXCEL表。 </w:t>
      </w:r>
    </w:p>
    <w:p>
      <w:pPr>
        <w:autoSpaceDE w:val="0"/>
        <w:autoSpaceDN w:val="0"/>
        <w:adjustRightInd w:val="0"/>
        <w:spacing w:line="360" w:lineRule="auto"/>
        <w:ind w:firstLine="476" w:firstLineChars="200"/>
        <w:jc w:val="left"/>
        <w:rPr>
          <w:rFonts w:ascii="宋体" w:hAnsi="宋体" w:eastAsia="宋体" w:cs="宋体"/>
          <w:spacing w:val="-1"/>
          <w:sz w:val="24"/>
          <w:szCs w:val="24"/>
        </w:rPr>
      </w:pPr>
      <w:r>
        <w:rPr>
          <w:rFonts w:hint="eastAsia" w:ascii="宋体" w:hAnsi="宋体" w:eastAsia="宋体" w:cs="宋体"/>
          <w:spacing w:val="-1"/>
          <w:sz w:val="24"/>
          <w:szCs w:val="24"/>
        </w:rPr>
        <w:t>3、成本管理，支持成本数据录入、导入、导出，生成科室成本报表。</w:t>
      </w:r>
    </w:p>
    <w:p>
      <w:pPr>
        <w:autoSpaceDE w:val="0"/>
        <w:autoSpaceDN w:val="0"/>
        <w:adjustRightInd w:val="0"/>
        <w:spacing w:line="360" w:lineRule="auto"/>
        <w:ind w:firstLine="476" w:firstLineChars="200"/>
        <w:jc w:val="left"/>
        <w:rPr>
          <w:rFonts w:ascii="宋体" w:hAnsi="宋体" w:eastAsia="宋体" w:cs="宋体"/>
          <w:spacing w:val="-1"/>
          <w:sz w:val="24"/>
          <w:szCs w:val="24"/>
        </w:rPr>
      </w:pPr>
      <w:r>
        <w:rPr>
          <w:rFonts w:hint="eastAsia" w:ascii="宋体" w:hAnsi="宋体" w:eastAsia="宋体" w:cs="宋体"/>
          <w:spacing w:val="-1"/>
          <w:sz w:val="24"/>
          <w:szCs w:val="24"/>
        </w:rPr>
        <w:t>4、KPI管理，将医院目标、三级公立医院考核绩效指标以及各相关数据能导入系统，各职能科室进行核算打分，科室能查询KPI考核分。</w:t>
      </w:r>
    </w:p>
    <w:p>
      <w:pPr>
        <w:autoSpaceDE w:val="0"/>
        <w:autoSpaceDN w:val="0"/>
        <w:adjustRightInd w:val="0"/>
        <w:spacing w:line="360" w:lineRule="auto"/>
        <w:ind w:firstLine="476" w:firstLineChars="200"/>
        <w:jc w:val="left"/>
        <w:rPr>
          <w:rFonts w:ascii="宋体" w:hAnsi="宋体" w:eastAsia="宋体" w:cs="宋体"/>
          <w:spacing w:val="-1"/>
          <w:sz w:val="24"/>
          <w:szCs w:val="24"/>
        </w:rPr>
      </w:pPr>
      <w:r>
        <w:rPr>
          <w:rFonts w:hint="eastAsia" w:ascii="宋体" w:hAnsi="宋体" w:eastAsia="宋体" w:cs="宋体"/>
          <w:spacing w:val="-1"/>
          <w:sz w:val="24"/>
          <w:szCs w:val="24"/>
        </w:rPr>
        <w:t>5、设置院内岗位字典、职称字典、行政职务字典、护理能级字典，对员工的信息进行管理，以方便绩效核算以及科室分配绩效。</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6、科室绩效表在系统实现一键发放，系统支持短信通知各收件人。支持科室将发放结果以手工填报、Excel上传等方式反馈到绩效管理部门。发放方式支持跨科室发放，允许核算单元负责人将部分绩效奖励给为本单元带来贡献的他科人员。由绩效管理部门审核后发到到职工银行卡。</w:t>
      </w:r>
    </w:p>
    <w:p>
      <w:pPr>
        <w:autoSpaceDE w:val="0"/>
        <w:autoSpaceDN w:val="0"/>
        <w:adjustRightInd w:val="0"/>
        <w:spacing w:line="360" w:lineRule="auto"/>
        <w:ind w:firstLine="476" w:firstLineChars="200"/>
        <w:jc w:val="left"/>
        <w:rPr>
          <w:rFonts w:ascii="宋体" w:hAnsi="宋体" w:eastAsia="宋体" w:cs="宋体"/>
          <w:spacing w:val="-1"/>
          <w:sz w:val="24"/>
          <w:szCs w:val="24"/>
        </w:rPr>
      </w:pPr>
      <w:r>
        <w:rPr>
          <w:rFonts w:hint="eastAsia" w:ascii="宋体" w:hAnsi="宋体" w:eastAsia="宋体" w:cs="宋体"/>
          <w:spacing w:val="-1"/>
          <w:sz w:val="24"/>
          <w:szCs w:val="24"/>
        </w:rPr>
        <w:t>7、报表功能，能设置符合本院的个性化报表，方便对数据进行分析，支撑医院的运营管理。</w:t>
      </w:r>
    </w:p>
    <w:p>
      <w:pPr>
        <w:autoSpaceDE w:val="0"/>
        <w:autoSpaceDN w:val="0"/>
        <w:adjustRightInd w:val="0"/>
        <w:spacing w:line="360" w:lineRule="auto"/>
        <w:ind w:firstLine="476" w:firstLineChars="200"/>
        <w:jc w:val="left"/>
        <w:rPr>
          <w:rFonts w:ascii="宋体" w:hAnsi="宋体" w:eastAsia="宋体" w:cs="宋体"/>
          <w:spacing w:val="-1"/>
          <w:sz w:val="24"/>
          <w:szCs w:val="24"/>
        </w:rPr>
      </w:pPr>
    </w:p>
    <w:p>
      <w:pPr>
        <w:pStyle w:val="8"/>
        <w:numPr>
          <w:ilvl w:val="0"/>
          <w:numId w:val="1"/>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其他要求</w:t>
      </w:r>
    </w:p>
    <w:p>
      <w:pPr>
        <w:pStyle w:val="8"/>
        <w:numPr>
          <w:ilvl w:val="0"/>
          <w:numId w:val="3"/>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项目建设期</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项目预计建设期为合同签订后6个月。投标人应根据其项目实施方案、医院要求的项目建设期制定有明确时间的项目进度表，且有相应机制保障项目按进度推进。</w:t>
      </w:r>
    </w:p>
    <w:p>
      <w:pPr>
        <w:pStyle w:val="8"/>
        <w:numPr>
          <w:ilvl w:val="0"/>
          <w:numId w:val="3"/>
        </w:numPr>
        <w:spacing w:line="360" w:lineRule="auto"/>
        <w:ind w:firstLineChars="0"/>
        <w:rPr>
          <w:rFonts w:ascii="宋体" w:hAnsi="宋体" w:eastAsia="宋体" w:cs="宋体"/>
          <w:b/>
          <w:spacing w:val="-1"/>
          <w:sz w:val="24"/>
          <w:szCs w:val="24"/>
          <w:highlight w:val="none"/>
        </w:rPr>
      </w:pPr>
      <w:r>
        <w:rPr>
          <w:rFonts w:hint="eastAsia" w:ascii="宋体" w:hAnsi="宋体" w:eastAsia="宋体" w:cs="宋体"/>
          <w:b/>
          <w:spacing w:val="-1"/>
          <w:sz w:val="24"/>
          <w:szCs w:val="24"/>
          <w:highlight w:val="none"/>
        </w:rPr>
        <w:t>项目采购预算</w:t>
      </w:r>
    </w:p>
    <w:p>
      <w:pPr>
        <w:spacing w:line="360" w:lineRule="auto"/>
        <w:ind w:firstLine="476" w:firstLineChars="200"/>
        <w:rPr>
          <w:rFonts w:ascii="宋体" w:hAnsi="宋体" w:eastAsia="宋体" w:cs="宋体"/>
          <w:spacing w:val="-1"/>
          <w:sz w:val="24"/>
          <w:szCs w:val="24"/>
        </w:rPr>
      </w:pPr>
      <w:r>
        <w:rPr>
          <w:rFonts w:hint="eastAsia" w:ascii="宋体" w:hAnsi="宋体" w:eastAsia="宋体" w:cs="宋体"/>
          <w:spacing w:val="-1"/>
          <w:sz w:val="24"/>
          <w:szCs w:val="24"/>
        </w:rPr>
        <w:t>本次</w:t>
      </w:r>
      <w:r>
        <w:rPr>
          <w:rFonts w:hint="eastAsia" w:ascii="宋体" w:hAnsi="宋体" w:eastAsia="宋体" w:cs="宋体"/>
          <w:spacing w:val="-1"/>
          <w:sz w:val="24"/>
          <w:szCs w:val="24"/>
          <w:lang w:val="en-US" w:eastAsia="zh-CN"/>
        </w:rPr>
        <w:t>调研</w:t>
      </w:r>
      <w:r>
        <w:rPr>
          <w:rFonts w:hint="eastAsia" w:ascii="宋体" w:hAnsi="宋体" w:eastAsia="宋体" w:cs="宋体"/>
          <w:spacing w:val="-1"/>
          <w:sz w:val="24"/>
          <w:szCs w:val="24"/>
        </w:rPr>
        <w:t>报价应包含税费、人工费、材料费、软件维护费、培训费、验收费、系统软件开发费、售后服务等所有费用，直到验收合格为止，招标人不再支付除合同价款以外的任何费用。</w:t>
      </w:r>
    </w:p>
    <w:p>
      <w:pPr>
        <w:pStyle w:val="8"/>
        <w:numPr>
          <w:ilvl w:val="0"/>
          <w:numId w:val="3"/>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团队人员资质</w:t>
      </w:r>
    </w:p>
    <w:p>
      <w:pPr>
        <w:pStyle w:val="8"/>
        <w:numPr>
          <w:ilvl w:val="0"/>
          <w:numId w:val="4"/>
        </w:numPr>
        <w:spacing w:line="360" w:lineRule="auto"/>
        <w:ind w:firstLineChars="0"/>
        <w:rPr>
          <w:rFonts w:ascii="宋体" w:hAnsi="宋体" w:eastAsia="宋体" w:cs="宋体"/>
          <w:spacing w:val="-1"/>
          <w:sz w:val="24"/>
          <w:szCs w:val="24"/>
        </w:rPr>
      </w:pPr>
      <w:r>
        <w:rPr>
          <w:rFonts w:hint="eastAsia" w:ascii="宋体" w:hAnsi="宋体" w:eastAsia="宋体" w:cs="宋体"/>
          <w:spacing w:val="-1"/>
          <w:sz w:val="24"/>
          <w:szCs w:val="24"/>
        </w:rPr>
        <w:t>项目主要负责人具有5年及以上医院绩效管理咨询实际经验，并且担任过绩效咨询项目主要负责人。</w:t>
      </w:r>
      <w:bookmarkStart w:id="0" w:name="_GoBack"/>
      <w:bookmarkEnd w:id="0"/>
    </w:p>
    <w:p>
      <w:pPr>
        <w:pStyle w:val="8"/>
        <w:numPr>
          <w:ilvl w:val="0"/>
          <w:numId w:val="4"/>
        </w:numPr>
        <w:spacing w:line="360" w:lineRule="auto"/>
        <w:ind w:firstLineChars="0"/>
        <w:rPr>
          <w:rFonts w:ascii="宋体" w:hAnsi="宋体" w:eastAsia="宋体" w:cs="宋体"/>
          <w:spacing w:val="-1"/>
          <w:sz w:val="24"/>
          <w:szCs w:val="24"/>
        </w:rPr>
      </w:pPr>
      <w:r>
        <w:rPr>
          <w:rFonts w:hint="eastAsia" w:ascii="宋体" w:hAnsi="宋体" w:eastAsia="宋体" w:cs="宋体"/>
          <w:spacing w:val="-1"/>
          <w:sz w:val="24"/>
          <w:szCs w:val="24"/>
        </w:rPr>
        <w:t>项目主要负责人曾经参与过2个及以上国内大型公立三甲医院（床位在1500张及以上）的同类咨询服务及配套信息系统实施项目。</w:t>
      </w:r>
    </w:p>
    <w:p>
      <w:pPr>
        <w:pStyle w:val="8"/>
        <w:numPr>
          <w:ilvl w:val="0"/>
          <w:numId w:val="4"/>
        </w:numPr>
        <w:spacing w:line="360" w:lineRule="auto"/>
        <w:ind w:firstLineChars="0"/>
        <w:rPr>
          <w:rFonts w:ascii="宋体" w:hAnsi="宋体" w:eastAsia="宋体" w:cs="宋体"/>
          <w:spacing w:val="-1"/>
          <w:sz w:val="24"/>
          <w:szCs w:val="24"/>
        </w:rPr>
      </w:pPr>
      <w:r>
        <w:rPr>
          <w:rFonts w:hint="eastAsia" w:ascii="宋体" w:hAnsi="宋体" w:eastAsia="宋体" w:cs="宋体"/>
          <w:spacing w:val="-1"/>
          <w:sz w:val="24"/>
          <w:szCs w:val="24"/>
        </w:rPr>
        <w:t>项目实施过程中须有3名及以上，调研阶段须保证有6名及以上专业咨询人员驻点参与，且至少有1名咨询人员具有医学教育和工作背景，包括医学、药学、公卫、护理本科及以上学位。</w:t>
      </w:r>
    </w:p>
    <w:p>
      <w:pPr>
        <w:pStyle w:val="8"/>
        <w:numPr>
          <w:ilvl w:val="0"/>
          <w:numId w:val="3"/>
        </w:numPr>
        <w:spacing w:line="360" w:lineRule="auto"/>
        <w:ind w:firstLineChars="0"/>
        <w:rPr>
          <w:rFonts w:ascii="宋体" w:hAnsi="宋体" w:eastAsia="宋体" w:cs="宋体"/>
          <w:b/>
          <w:spacing w:val="-1"/>
          <w:sz w:val="24"/>
          <w:szCs w:val="24"/>
        </w:rPr>
      </w:pPr>
      <w:r>
        <w:rPr>
          <w:rFonts w:hint="eastAsia" w:ascii="宋体" w:hAnsi="宋体" w:eastAsia="宋体" w:cs="宋体"/>
          <w:b/>
          <w:spacing w:val="-1"/>
          <w:sz w:val="24"/>
          <w:szCs w:val="24"/>
        </w:rPr>
        <w:t>售后服务及培训</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1. 每月至少一次进行数据库优化调校，确保数据来源正确；</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2. 每月至少一次进行系统的效能调整，确保系统运行速度；</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3. 医院绩效政策调整时的管理咨询与相应调整服务；</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4. 科室意见反馈的咨询管理服务；</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5. 科室新增或变动诊疗项目时的咨询管理服务；</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6. 投标人在系统最终验收后</w:t>
      </w:r>
      <w:r>
        <w:rPr>
          <w:rFonts w:hint="eastAsia" w:ascii="宋体" w:hAnsi="宋体" w:eastAsia="宋体" w:cs="宋体"/>
          <w:spacing w:val="-1"/>
          <w:sz w:val="24"/>
          <w:szCs w:val="24"/>
          <w:lang w:val="en-US" w:eastAsia="zh-CN"/>
        </w:rPr>
        <w:t>提供不少于5年的维保期（费用包含在报价中）</w:t>
      </w:r>
      <w:r>
        <w:rPr>
          <w:rFonts w:hint="eastAsia" w:ascii="宋体" w:hAnsi="宋体" w:eastAsia="宋体" w:cs="宋体"/>
          <w:spacing w:val="-1"/>
          <w:sz w:val="24"/>
          <w:szCs w:val="24"/>
        </w:rPr>
        <w:t>，包括但不限于对由于方案调整引起的软件功能需求负责进行相应的软件开发或调整，对由于软件产品而产生的故障负责排除，保证正常运行。维保期外投标人应提供系统和软件的终身维护，按不高于同级别医院同类项目标准收费，且费用上限每年不能超过合同价格的6%。</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7. 在5年维护期内，做到24小时全天候电话响应，当系统发生故障时，投标人应在接到报修或维护的通知后立即处理；若因投标人责任导致的系统故障，应承诺在2小时内响应，在4小时内恢复。投标人在必要时应提供备件使系统能正常工作。投标人在硬件故障维修时，应当详细记录故障原因及排除方法，维修完毕将其移交；针对不能远程处理的缺陷或障碍等，投标人应在48小时内派员到达现场进行修复。</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8. 软件升级：验收合格后提供软件终身升级服务</w:t>
      </w:r>
      <w:r>
        <w:rPr>
          <w:rFonts w:hint="eastAsia" w:ascii="宋体" w:hAnsi="宋体" w:eastAsia="宋体" w:cs="宋体"/>
          <w:spacing w:val="-1"/>
          <w:sz w:val="24"/>
          <w:szCs w:val="24"/>
          <w:lang w:val="en-US" w:eastAsia="zh-CN"/>
        </w:rPr>
        <w:t>（费用包含在报价中）</w:t>
      </w:r>
      <w:r>
        <w:rPr>
          <w:rFonts w:hint="eastAsia" w:ascii="宋体" w:hAnsi="宋体" w:eastAsia="宋体" w:cs="宋体"/>
          <w:spacing w:val="-1"/>
          <w:sz w:val="24"/>
          <w:szCs w:val="24"/>
        </w:rPr>
        <w:t>。</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9. 提供维护所需要的源代码及技术支持工具，开放技术平台，以利于招标人专业人员的维护。</w:t>
      </w:r>
    </w:p>
    <w:p>
      <w:pPr>
        <w:spacing w:line="360" w:lineRule="auto"/>
        <w:rPr>
          <w:rFonts w:ascii="宋体" w:hAnsi="宋体" w:eastAsia="宋体" w:cs="宋体"/>
          <w:spacing w:val="-1"/>
          <w:sz w:val="24"/>
          <w:szCs w:val="24"/>
        </w:rPr>
      </w:pPr>
      <w:r>
        <w:rPr>
          <w:rFonts w:hint="eastAsia" w:ascii="宋体" w:hAnsi="宋体" w:eastAsia="宋体" w:cs="宋体"/>
          <w:spacing w:val="-1"/>
          <w:sz w:val="24"/>
          <w:szCs w:val="24"/>
        </w:rPr>
        <w:t>10. 承担项目相关方案设置原理、系统使用及维护相关培训，确保招标人医院管理者能够理解绩效管理方案的制订原理及依据，确保招标人技术人员能够熟练地对系统进行运行、诊断、维护 和管理，确保本项目相关业务人员对其使用的应用系统能熟练操作。</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7807682"/>
      <w:docPartObj>
        <w:docPartGallery w:val="autotext"/>
      </w:docPartObj>
    </w:sdtPr>
    <w:sdtContent>
      <w:p>
        <w:pPr>
          <w:pStyle w:val="3"/>
          <w:jc w:val="right"/>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912B4"/>
    <w:multiLevelType w:val="multilevel"/>
    <w:tmpl w:val="11C912B4"/>
    <w:lvl w:ilvl="0" w:tentative="0">
      <w:start w:val="1"/>
      <w:numFmt w:val="japaneseCounting"/>
      <w:lvlText w:val="（%1）"/>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395A31"/>
    <w:multiLevelType w:val="multilevel"/>
    <w:tmpl w:val="20395A31"/>
    <w:lvl w:ilvl="0" w:tentative="0">
      <w:start w:val="1"/>
      <w:numFmt w:val="japaneseCounting"/>
      <w:lvlText w:val="%1、"/>
      <w:lvlJc w:val="left"/>
      <w:pPr>
        <w:ind w:left="750" w:hanging="750"/>
      </w:pPr>
      <w:rPr>
        <w:rFonts w:hint="default"/>
        <w:sz w:val="24"/>
        <w:szCs w:val="24"/>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F27109"/>
    <w:multiLevelType w:val="multilevel"/>
    <w:tmpl w:val="5CF271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FC7D61"/>
    <w:multiLevelType w:val="multilevel"/>
    <w:tmpl w:val="5CFC7D61"/>
    <w:lvl w:ilvl="0" w:tentative="0">
      <w:start w:val="1"/>
      <w:numFmt w:val="japaneseCounting"/>
      <w:lvlText w:val="（%1）"/>
      <w:lvlJc w:val="left"/>
      <w:pPr>
        <w:ind w:left="1125" w:hanging="1125"/>
      </w:pPr>
      <w:rPr>
        <w:rFonts w:hint="default"/>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92BC0"/>
    <w:rsid w:val="00000394"/>
    <w:rsid w:val="000058F2"/>
    <w:rsid w:val="00097F3F"/>
    <w:rsid w:val="000B0755"/>
    <w:rsid w:val="000E1B8F"/>
    <w:rsid w:val="00145F9D"/>
    <w:rsid w:val="001868F0"/>
    <w:rsid w:val="001A15C6"/>
    <w:rsid w:val="00201FED"/>
    <w:rsid w:val="00237C84"/>
    <w:rsid w:val="00241BC7"/>
    <w:rsid w:val="00255896"/>
    <w:rsid w:val="00292BC0"/>
    <w:rsid w:val="00293428"/>
    <w:rsid w:val="002F0971"/>
    <w:rsid w:val="0030489B"/>
    <w:rsid w:val="00306850"/>
    <w:rsid w:val="003076C1"/>
    <w:rsid w:val="00307A95"/>
    <w:rsid w:val="00317936"/>
    <w:rsid w:val="003341E4"/>
    <w:rsid w:val="003477AC"/>
    <w:rsid w:val="003579E0"/>
    <w:rsid w:val="00391E12"/>
    <w:rsid w:val="003E16C0"/>
    <w:rsid w:val="004141E7"/>
    <w:rsid w:val="004266B9"/>
    <w:rsid w:val="00431DC4"/>
    <w:rsid w:val="00434080"/>
    <w:rsid w:val="00452E40"/>
    <w:rsid w:val="00455999"/>
    <w:rsid w:val="00463343"/>
    <w:rsid w:val="00497AFA"/>
    <w:rsid w:val="004B3141"/>
    <w:rsid w:val="004C12D6"/>
    <w:rsid w:val="004C5B32"/>
    <w:rsid w:val="004E1667"/>
    <w:rsid w:val="005113BD"/>
    <w:rsid w:val="00520B25"/>
    <w:rsid w:val="0053245A"/>
    <w:rsid w:val="00547F1C"/>
    <w:rsid w:val="00590FC4"/>
    <w:rsid w:val="005A1CE1"/>
    <w:rsid w:val="005A248C"/>
    <w:rsid w:val="005D64B5"/>
    <w:rsid w:val="005E07E8"/>
    <w:rsid w:val="005F05E6"/>
    <w:rsid w:val="00633514"/>
    <w:rsid w:val="00647448"/>
    <w:rsid w:val="00652974"/>
    <w:rsid w:val="00677562"/>
    <w:rsid w:val="006948F0"/>
    <w:rsid w:val="006A2884"/>
    <w:rsid w:val="006A31DD"/>
    <w:rsid w:val="006A34B3"/>
    <w:rsid w:val="006A54A6"/>
    <w:rsid w:val="006D6B7D"/>
    <w:rsid w:val="00723DBD"/>
    <w:rsid w:val="007365F8"/>
    <w:rsid w:val="00773946"/>
    <w:rsid w:val="0078113E"/>
    <w:rsid w:val="007835D2"/>
    <w:rsid w:val="00793EC6"/>
    <w:rsid w:val="00797DC3"/>
    <w:rsid w:val="007A0D04"/>
    <w:rsid w:val="007C1438"/>
    <w:rsid w:val="007D05F0"/>
    <w:rsid w:val="00834DD6"/>
    <w:rsid w:val="00854FA3"/>
    <w:rsid w:val="008A0A74"/>
    <w:rsid w:val="008C05B2"/>
    <w:rsid w:val="008E13F2"/>
    <w:rsid w:val="00935B35"/>
    <w:rsid w:val="00943916"/>
    <w:rsid w:val="009A1AA2"/>
    <w:rsid w:val="009B7F4A"/>
    <w:rsid w:val="009E16F8"/>
    <w:rsid w:val="00A00A2B"/>
    <w:rsid w:val="00A201B2"/>
    <w:rsid w:val="00A261E6"/>
    <w:rsid w:val="00A411E1"/>
    <w:rsid w:val="00A50624"/>
    <w:rsid w:val="00A51A9F"/>
    <w:rsid w:val="00A53D19"/>
    <w:rsid w:val="00A567C9"/>
    <w:rsid w:val="00AA1883"/>
    <w:rsid w:val="00AA45C1"/>
    <w:rsid w:val="00AB06AC"/>
    <w:rsid w:val="00AB4FF2"/>
    <w:rsid w:val="00AD7497"/>
    <w:rsid w:val="00AE02BB"/>
    <w:rsid w:val="00AE3115"/>
    <w:rsid w:val="00AE7BCA"/>
    <w:rsid w:val="00AF0322"/>
    <w:rsid w:val="00B034D6"/>
    <w:rsid w:val="00B11797"/>
    <w:rsid w:val="00B26618"/>
    <w:rsid w:val="00B34BAF"/>
    <w:rsid w:val="00B51467"/>
    <w:rsid w:val="00B86829"/>
    <w:rsid w:val="00BC4399"/>
    <w:rsid w:val="00BE4949"/>
    <w:rsid w:val="00C073A4"/>
    <w:rsid w:val="00C943FC"/>
    <w:rsid w:val="00CC2164"/>
    <w:rsid w:val="00CD5149"/>
    <w:rsid w:val="00CE5553"/>
    <w:rsid w:val="00D01CB7"/>
    <w:rsid w:val="00D16C42"/>
    <w:rsid w:val="00D27BF3"/>
    <w:rsid w:val="00D33D54"/>
    <w:rsid w:val="00D36F18"/>
    <w:rsid w:val="00D6391D"/>
    <w:rsid w:val="00D80079"/>
    <w:rsid w:val="00D91FBF"/>
    <w:rsid w:val="00D975A3"/>
    <w:rsid w:val="00DB3FB5"/>
    <w:rsid w:val="00DD4B62"/>
    <w:rsid w:val="00DD79A6"/>
    <w:rsid w:val="00DF55CC"/>
    <w:rsid w:val="00E33EEB"/>
    <w:rsid w:val="00E4626E"/>
    <w:rsid w:val="00E60B97"/>
    <w:rsid w:val="00EA2249"/>
    <w:rsid w:val="00F14E3F"/>
    <w:rsid w:val="00F5744B"/>
    <w:rsid w:val="00F60CAD"/>
    <w:rsid w:val="00F82AEA"/>
    <w:rsid w:val="00F84C86"/>
    <w:rsid w:val="00FB5A44"/>
    <w:rsid w:val="00FC4604"/>
    <w:rsid w:val="30603215"/>
    <w:rsid w:val="3CEE780F"/>
    <w:rsid w:val="5420717D"/>
    <w:rsid w:val="5D3F76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
    <w:qFormat/>
    <w:uiPriority w:val="0"/>
    <w:pPr>
      <w:adjustRightInd w:val="0"/>
      <w:spacing w:line="360" w:lineRule="atLeast"/>
      <w:jc w:val="left"/>
      <w:textAlignment w:val="baseline"/>
    </w:pPr>
    <w:rPr>
      <w:rFonts w:ascii="Times New Roman" w:hAnsi="Times New Roman" w:eastAsia="宋体" w:cs="Times New Roman"/>
      <w:sz w:val="24"/>
      <w:szCs w:val="24"/>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批注文字 Char"/>
    <w:basedOn w:val="7"/>
    <w:link w:val="2"/>
    <w:qFormat/>
    <w:uiPriority w:val="0"/>
    <w:rPr>
      <w:rFonts w:ascii="Times New Roman" w:hAnsi="Times New Roman" w:eastAsia="宋体" w:cs="Times New Roman"/>
      <w:sz w:val="24"/>
      <w:szCs w:val="24"/>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DC565E-C6F4-48A3-A004-89ABCF4F91D0}">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522</Words>
  <Characters>2981</Characters>
  <Lines>24</Lines>
  <Paragraphs>6</Paragraphs>
  <TotalTime>31</TotalTime>
  <ScaleCrop>false</ScaleCrop>
  <LinksUpToDate>false</LinksUpToDate>
  <CharactersWithSpaces>3497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2022-04-25T07:14:00Z</dcterms:created>
  <dc:creator>Administrator</dc:creator>
  <cp:lastModifiedBy>黄秉勋</cp:lastModifiedBy>
  <dcterms:modified xsi:type="dcterms:W3CDTF">2022-05-17T07:44:29Z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