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700"/>
        </w:tabs>
        <w:autoSpaceDE w:val="0"/>
        <w:autoSpaceDN w:val="0"/>
        <w:adjustRightInd w:val="0"/>
        <w:snapToGrid w:val="0"/>
        <w:spacing w:line="360" w:lineRule="auto"/>
        <w:jc w:val="center"/>
        <w:textAlignment w:val="bottom"/>
        <w:rPr>
          <w:rFonts w:ascii="宋体" w:hAnsi="宋体" w:cs="宋体"/>
          <w:b/>
          <w:bCs/>
          <w:color w:val="000000"/>
          <w:szCs w:val="21"/>
        </w:rPr>
      </w:pPr>
      <w:r>
        <w:rPr>
          <w:rFonts w:hint="eastAsia" w:ascii="宋体" w:hAnsi="宋体" w:cs="宋体"/>
          <w:b/>
          <w:bCs/>
          <w:color w:val="000000"/>
          <w:szCs w:val="21"/>
        </w:rPr>
        <w:t xml:space="preserve">经颅磁治疗仪 </w:t>
      </w:r>
      <w:r>
        <w:rPr>
          <w:rFonts w:ascii="宋体" w:hAnsi="宋体" w:cs="宋体"/>
          <w:b/>
          <w:bCs/>
          <w:color w:val="000000"/>
          <w:szCs w:val="21"/>
        </w:rPr>
        <w:t>1</w:t>
      </w:r>
      <w:r>
        <w:rPr>
          <w:rFonts w:hint="eastAsia" w:ascii="宋体" w:hAnsi="宋体" w:cs="宋体"/>
          <w:b/>
          <w:bCs/>
          <w:color w:val="000000"/>
          <w:szCs w:val="21"/>
        </w:rPr>
        <w:t xml:space="preserve">台 </w:t>
      </w:r>
      <w:r>
        <w:rPr>
          <w:rFonts w:ascii="宋体" w:hAnsi="宋体" w:cs="宋体"/>
          <w:b/>
          <w:bCs/>
          <w:color w:val="000000"/>
          <w:szCs w:val="21"/>
        </w:rPr>
        <w:t xml:space="preserve"> </w:t>
      </w:r>
      <w:r>
        <w:rPr>
          <w:rFonts w:hint="eastAsia" w:ascii="宋体" w:hAnsi="宋体" w:cs="宋体"/>
          <w:b/>
          <w:bCs/>
          <w:color w:val="000000"/>
          <w:szCs w:val="21"/>
        </w:rPr>
        <w:t>总预算</w:t>
      </w:r>
      <w:r>
        <w:rPr>
          <w:rFonts w:ascii="宋体" w:hAnsi="宋体" w:cs="宋体"/>
          <w:b/>
          <w:bCs/>
          <w:color w:val="000000"/>
          <w:szCs w:val="21"/>
        </w:rPr>
        <w:t>6</w:t>
      </w:r>
      <w:r>
        <w:rPr>
          <w:rFonts w:hint="eastAsia" w:ascii="宋体" w:hAnsi="宋体" w:cs="宋体"/>
          <w:b/>
          <w:bCs/>
          <w:color w:val="000000"/>
          <w:szCs w:val="21"/>
        </w:rPr>
        <w:t>万元</w:t>
      </w:r>
    </w:p>
    <w:p>
      <w:pPr>
        <w:numPr>
          <w:ilvl w:val="0"/>
          <w:numId w:val="1"/>
        </w:numPr>
        <w:tabs>
          <w:tab w:val="left" w:pos="540"/>
        </w:tabs>
        <w:spacing w:line="276" w:lineRule="auto"/>
        <w:rPr>
          <w:b/>
          <w:szCs w:val="21"/>
        </w:rPr>
      </w:pPr>
      <w:r>
        <w:rPr>
          <w:rFonts w:hint="eastAsia"/>
          <w:b/>
          <w:szCs w:val="21"/>
        </w:rPr>
        <w:t>基本要求</w:t>
      </w:r>
    </w:p>
    <w:p>
      <w:pPr>
        <w:spacing w:line="360" w:lineRule="auto"/>
        <w:rPr>
          <w:rFonts w:ascii="宋体" w:hAnsi="宋体" w:cs="宋体"/>
          <w:szCs w:val="21"/>
        </w:rPr>
      </w:pPr>
      <w:r>
        <w:rPr>
          <w:rFonts w:hint="eastAsia" w:ascii="宋体" w:hAnsi="宋体" w:cs="宋体"/>
          <w:szCs w:val="21"/>
        </w:rPr>
        <w:t>1、名称：</w:t>
      </w:r>
      <w:r>
        <w:rPr>
          <w:rFonts w:hint="eastAsia" w:ascii="宋体" w:hAnsi="宋体" w:cs="宋体"/>
          <w:bCs/>
          <w:szCs w:val="21"/>
        </w:rPr>
        <w:t>经颅磁治疗仪</w:t>
      </w:r>
    </w:p>
    <w:p>
      <w:pPr>
        <w:spacing w:line="360" w:lineRule="auto"/>
        <w:rPr>
          <w:rFonts w:ascii="宋体" w:hAnsi="宋体" w:cs="宋体"/>
          <w:szCs w:val="21"/>
        </w:rPr>
      </w:pPr>
      <w:r>
        <w:rPr>
          <w:rFonts w:hint="eastAsia" w:ascii="宋体" w:hAnsi="宋体" w:cs="宋体"/>
          <w:szCs w:val="21"/>
        </w:rPr>
        <w:t>2、数量：</w:t>
      </w:r>
      <w:r>
        <w:rPr>
          <w:rFonts w:ascii="宋体" w:hAnsi="宋体" w:cs="宋体"/>
          <w:szCs w:val="21"/>
        </w:rPr>
        <w:t>1</w:t>
      </w:r>
      <w:r>
        <w:rPr>
          <w:rFonts w:hint="eastAsia" w:ascii="宋体" w:hAnsi="宋体" w:cs="宋体"/>
          <w:szCs w:val="21"/>
        </w:rPr>
        <w:t>台</w:t>
      </w:r>
    </w:p>
    <w:p>
      <w:pPr>
        <w:spacing w:line="360" w:lineRule="auto"/>
        <w:rPr>
          <w:rFonts w:ascii="宋体" w:hAnsi="宋体" w:cs="宋体"/>
          <w:szCs w:val="21"/>
        </w:rPr>
      </w:pPr>
      <w:r>
        <w:rPr>
          <w:rFonts w:hint="eastAsia" w:ascii="宋体" w:hAnsi="宋体" w:cs="宋体"/>
          <w:szCs w:val="21"/>
        </w:rPr>
        <w:t>3、货期：接采购人通知后1个月内</w:t>
      </w:r>
    </w:p>
    <w:p>
      <w:pPr>
        <w:spacing w:line="360" w:lineRule="auto"/>
        <w:rPr>
          <w:rFonts w:ascii="宋体" w:hAnsi="宋体" w:cs="宋体"/>
          <w:color w:val="000000"/>
          <w:szCs w:val="21"/>
        </w:rPr>
      </w:pPr>
      <w:r>
        <w:rPr>
          <w:rFonts w:hint="eastAsia" w:ascii="宋体" w:hAnsi="宋体" w:cs="宋体"/>
          <w:szCs w:val="21"/>
        </w:rPr>
        <w:t>4、其他：若为进口产品，必须整机原装进口，供货时可提供进口产品报关单和(或)商检证明，到货时软硬件为当前最新版本(注明版本号)。</w:t>
      </w:r>
    </w:p>
    <w:p>
      <w:pPr>
        <w:numPr>
          <w:ilvl w:val="0"/>
          <w:numId w:val="1"/>
        </w:numPr>
        <w:tabs>
          <w:tab w:val="left" w:pos="540"/>
        </w:tabs>
        <w:spacing w:line="276" w:lineRule="auto"/>
        <w:rPr>
          <w:szCs w:val="21"/>
        </w:rPr>
      </w:pPr>
      <w:r>
        <w:rPr>
          <w:rFonts w:hint="eastAsia"/>
          <w:b/>
          <w:szCs w:val="21"/>
        </w:rPr>
        <w:t>主要技术要求（达到或优于）</w:t>
      </w:r>
    </w:p>
    <w:p>
      <w:pPr>
        <w:pStyle w:val="9"/>
        <w:numPr>
          <w:ilvl w:val="0"/>
          <w:numId w:val="2"/>
        </w:numPr>
        <w:spacing w:line="276" w:lineRule="auto"/>
        <w:ind w:firstLineChars="0"/>
        <w:rPr>
          <w:rFonts w:ascii="宋体" w:hAnsi="宋体" w:cs="宋体"/>
          <w:bCs/>
          <w:szCs w:val="21"/>
        </w:rPr>
      </w:pPr>
      <w:r>
        <w:rPr>
          <w:rFonts w:hint="eastAsia" w:ascii="宋体" w:hAnsi="宋体" w:cs="宋体"/>
          <w:bCs/>
          <w:szCs w:val="21"/>
        </w:rPr>
        <w:t>用于儿童脑瘫神经功能的恢复、大脑发育迟缓、癫痫、弱智；小儿自闭症、多动症、注意力不集中；脑瘫引起的相关症状、流口水、睡眠障碍、呛食、智力低下；脑瘫引起的语言能力低下、行走不平衡、肌张力高引起的运动障碍等。</w:t>
      </w:r>
    </w:p>
    <w:p>
      <w:pPr>
        <w:pStyle w:val="9"/>
        <w:numPr>
          <w:ilvl w:val="0"/>
          <w:numId w:val="2"/>
        </w:numPr>
        <w:spacing w:line="276" w:lineRule="auto"/>
        <w:ind w:firstLineChars="0"/>
        <w:rPr>
          <w:rFonts w:ascii="宋体" w:hAnsi="宋体" w:cs="宋体"/>
          <w:bCs/>
          <w:szCs w:val="21"/>
        </w:rPr>
      </w:pPr>
      <w:r>
        <w:rPr>
          <w:rFonts w:hint="eastAsia" w:ascii="宋体" w:hAnsi="宋体" w:cs="宋体"/>
          <w:bCs/>
          <w:szCs w:val="21"/>
        </w:rPr>
        <w:t>治疗体磁感应强度：弱档：</w:t>
      </w:r>
      <w:r>
        <w:rPr>
          <w:rFonts w:ascii="宋体" w:hAnsi="宋体" w:cs="宋体"/>
          <w:bCs/>
          <w:szCs w:val="21"/>
        </w:rPr>
        <w:t>7 mT</w:t>
      </w:r>
      <w:r>
        <w:rPr>
          <w:rFonts w:hint="eastAsia" w:ascii="宋体" w:hAnsi="宋体" w:cs="宋体"/>
          <w:bCs/>
          <w:szCs w:val="21"/>
        </w:rPr>
        <w:t>±</w:t>
      </w:r>
      <w:r>
        <w:rPr>
          <w:rFonts w:ascii="宋体" w:hAnsi="宋体" w:cs="宋体"/>
          <w:bCs/>
          <w:szCs w:val="21"/>
        </w:rPr>
        <w:t>2mT</w:t>
      </w:r>
      <w:r>
        <w:rPr>
          <w:rFonts w:hint="eastAsia" w:ascii="宋体" w:hAnsi="宋体" w:cs="宋体"/>
          <w:bCs/>
          <w:szCs w:val="21"/>
        </w:rPr>
        <w:t>；强档：</w:t>
      </w:r>
      <w:r>
        <w:rPr>
          <w:rFonts w:ascii="宋体" w:hAnsi="宋体" w:cs="宋体"/>
          <w:bCs/>
          <w:szCs w:val="21"/>
        </w:rPr>
        <w:t>14 mT</w:t>
      </w:r>
      <w:r>
        <w:rPr>
          <w:rFonts w:hint="eastAsia" w:ascii="宋体" w:hAnsi="宋体" w:cs="宋体"/>
          <w:bCs/>
          <w:szCs w:val="21"/>
        </w:rPr>
        <w:t>±</w:t>
      </w:r>
      <w:r>
        <w:rPr>
          <w:rFonts w:ascii="宋体" w:hAnsi="宋体" w:cs="宋体"/>
          <w:bCs/>
          <w:szCs w:val="21"/>
        </w:rPr>
        <w:t>4mT</w:t>
      </w:r>
    </w:p>
    <w:p>
      <w:pPr>
        <w:pStyle w:val="9"/>
        <w:numPr>
          <w:ilvl w:val="0"/>
          <w:numId w:val="2"/>
        </w:numPr>
        <w:spacing w:line="276" w:lineRule="auto"/>
        <w:ind w:firstLineChars="0"/>
        <w:rPr>
          <w:rFonts w:ascii="宋体" w:hAnsi="宋体" w:cs="宋体"/>
          <w:bCs/>
          <w:szCs w:val="21"/>
        </w:rPr>
      </w:pPr>
      <w:r>
        <w:rPr>
          <w:rFonts w:hint="eastAsia" w:ascii="宋体" w:hAnsi="宋体" w:cs="宋体"/>
          <w:bCs/>
          <w:szCs w:val="21"/>
        </w:rPr>
        <w:t>治疗通道：4路输出、同时可治疗4人，每一路可独立工作。</w:t>
      </w:r>
    </w:p>
    <w:p>
      <w:pPr>
        <w:pStyle w:val="9"/>
        <w:numPr>
          <w:ilvl w:val="0"/>
          <w:numId w:val="2"/>
        </w:numPr>
        <w:spacing w:line="276" w:lineRule="auto"/>
        <w:ind w:firstLineChars="0"/>
        <w:rPr>
          <w:rFonts w:ascii="宋体" w:hAnsi="宋体" w:cs="宋体"/>
          <w:bCs/>
          <w:szCs w:val="21"/>
        </w:rPr>
      </w:pPr>
      <w:r>
        <w:rPr>
          <w:rFonts w:hint="eastAsia" w:ascii="宋体" w:hAnsi="宋体" w:cs="宋体"/>
          <w:bCs/>
          <w:szCs w:val="21"/>
        </w:rPr>
        <w:t>治疗时间：</w:t>
      </w:r>
      <w:r>
        <w:rPr>
          <w:rFonts w:ascii="宋体" w:hAnsi="宋体" w:cs="宋体"/>
          <w:bCs/>
          <w:szCs w:val="21"/>
        </w:rPr>
        <w:t>20</w:t>
      </w:r>
      <w:r>
        <w:rPr>
          <w:rFonts w:hint="eastAsia" w:ascii="宋体" w:hAnsi="宋体" w:cs="宋体"/>
          <w:bCs/>
          <w:szCs w:val="21"/>
        </w:rPr>
        <w:t>—</w:t>
      </w:r>
      <w:r>
        <w:rPr>
          <w:rFonts w:ascii="宋体" w:hAnsi="宋体" w:cs="宋体"/>
          <w:bCs/>
          <w:szCs w:val="21"/>
        </w:rPr>
        <w:t>30</w:t>
      </w:r>
      <w:r>
        <w:rPr>
          <w:rFonts w:hint="eastAsia" w:ascii="宋体" w:hAnsi="宋体" w:cs="宋体"/>
          <w:bCs/>
          <w:szCs w:val="21"/>
        </w:rPr>
        <w:t>分钟（可调）</w:t>
      </w:r>
    </w:p>
    <w:p>
      <w:pPr>
        <w:pStyle w:val="9"/>
        <w:numPr>
          <w:ilvl w:val="0"/>
          <w:numId w:val="2"/>
        </w:numPr>
        <w:spacing w:line="276" w:lineRule="auto"/>
        <w:ind w:firstLineChars="0"/>
        <w:rPr>
          <w:rFonts w:ascii="宋体" w:hAnsi="宋体" w:cs="宋体"/>
          <w:bCs/>
          <w:szCs w:val="21"/>
        </w:rPr>
      </w:pPr>
      <w:r>
        <w:rPr>
          <w:rFonts w:hint="eastAsia" w:ascii="宋体" w:hAnsi="宋体" w:cs="宋体"/>
          <w:bCs/>
          <w:szCs w:val="21"/>
        </w:rPr>
        <w:t>治疗模式：变频负极性电磁和变频按摩功能</w:t>
      </w:r>
    </w:p>
    <w:p>
      <w:pPr>
        <w:pStyle w:val="9"/>
        <w:numPr>
          <w:ilvl w:val="0"/>
          <w:numId w:val="2"/>
        </w:numPr>
        <w:spacing w:line="276" w:lineRule="auto"/>
        <w:ind w:firstLineChars="0"/>
        <w:rPr>
          <w:rFonts w:ascii="宋体" w:hAnsi="宋体" w:cs="宋体"/>
          <w:bCs/>
          <w:szCs w:val="21"/>
        </w:rPr>
      </w:pPr>
      <w:r>
        <w:rPr>
          <w:rFonts w:hint="eastAsia" w:ascii="宋体" w:hAnsi="宋体" w:cs="宋体"/>
          <w:bCs/>
          <w:szCs w:val="21"/>
        </w:rPr>
        <w:t>治疗体磁感应频率：由5、10、20、30、40、50Hz六个固定频率段组成，输出时每种频率段可自动切换变频输出，也可单种频率单独输出，可自动变频，可自由选频。</w:t>
      </w:r>
    </w:p>
    <w:p>
      <w:pPr>
        <w:pStyle w:val="9"/>
        <w:numPr>
          <w:ilvl w:val="0"/>
          <w:numId w:val="2"/>
        </w:numPr>
        <w:spacing w:line="276" w:lineRule="auto"/>
        <w:ind w:firstLineChars="0"/>
        <w:rPr>
          <w:rFonts w:ascii="宋体" w:hAnsi="宋体" w:cs="宋体"/>
          <w:bCs/>
          <w:szCs w:val="21"/>
        </w:rPr>
      </w:pPr>
      <w:r>
        <w:rPr>
          <w:rFonts w:hint="eastAsia" w:ascii="宋体" w:hAnsi="宋体" w:cs="宋体"/>
          <w:bCs/>
          <w:szCs w:val="21"/>
        </w:rPr>
        <w:t>治疗帽治疗体数量及对应位置：治疗帽有6个治疗体，顶部1个，下边5个可横向移动。主要针对大脑皮层的前方联合区、运动联合区、头顶联合区、后方联合区、侧头联合区同时刺激。</w:t>
      </w:r>
    </w:p>
    <w:p>
      <w:pPr>
        <w:pStyle w:val="9"/>
        <w:numPr>
          <w:ilvl w:val="0"/>
          <w:numId w:val="2"/>
        </w:numPr>
        <w:spacing w:line="276" w:lineRule="auto"/>
        <w:ind w:firstLineChars="0"/>
        <w:rPr>
          <w:rFonts w:ascii="宋体" w:hAnsi="宋体" w:cs="宋体"/>
          <w:bCs/>
          <w:szCs w:val="21"/>
        </w:rPr>
      </w:pPr>
      <w:r>
        <w:rPr>
          <w:rFonts w:hint="eastAsia" w:ascii="宋体" w:hAnsi="宋体" w:cs="宋体"/>
          <w:bCs/>
          <w:szCs w:val="21"/>
        </w:rPr>
        <w:t>治疗帽各导线连接强度：可承受20N的拉力</w:t>
      </w:r>
    </w:p>
    <w:p>
      <w:pPr>
        <w:pStyle w:val="9"/>
        <w:numPr>
          <w:ilvl w:val="0"/>
          <w:numId w:val="2"/>
        </w:numPr>
        <w:spacing w:line="276" w:lineRule="auto"/>
        <w:ind w:firstLineChars="0"/>
        <w:rPr>
          <w:rFonts w:ascii="宋体" w:hAnsi="宋体" w:cs="宋体"/>
          <w:bCs/>
          <w:szCs w:val="21"/>
        </w:rPr>
      </w:pPr>
      <w:r>
        <w:rPr>
          <w:rFonts w:hint="eastAsia" w:ascii="宋体" w:hAnsi="宋体" w:cs="宋体"/>
          <w:bCs/>
          <w:szCs w:val="21"/>
        </w:rPr>
        <w:t>治疗输出电压：负极性：弱档：</w:t>
      </w:r>
      <w:r>
        <w:rPr>
          <w:rFonts w:ascii="宋体" w:hAnsi="宋体" w:cs="宋体"/>
          <w:bCs/>
          <w:szCs w:val="21"/>
        </w:rPr>
        <w:t>AC7.5</w:t>
      </w:r>
      <w:r>
        <w:rPr>
          <w:rFonts w:hint="eastAsia" w:ascii="宋体" w:hAnsi="宋体" w:cs="宋体"/>
          <w:bCs/>
          <w:szCs w:val="21"/>
        </w:rPr>
        <w:t>—</w:t>
      </w:r>
      <w:r>
        <w:rPr>
          <w:rFonts w:ascii="宋体" w:hAnsi="宋体" w:cs="宋体"/>
          <w:bCs/>
          <w:szCs w:val="21"/>
        </w:rPr>
        <w:t>9V</w:t>
      </w:r>
      <w:r>
        <w:rPr>
          <w:rFonts w:hint="eastAsia" w:ascii="宋体" w:hAnsi="宋体" w:cs="宋体"/>
          <w:bCs/>
          <w:szCs w:val="21"/>
        </w:rPr>
        <w:t>；强档：</w:t>
      </w:r>
      <w:r>
        <w:rPr>
          <w:rFonts w:ascii="宋体" w:hAnsi="宋体" w:cs="宋体"/>
          <w:bCs/>
          <w:szCs w:val="21"/>
        </w:rPr>
        <w:t>AC12</w:t>
      </w:r>
      <w:r>
        <w:rPr>
          <w:rFonts w:hint="eastAsia" w:ascii="宋体" w:hAnsi="宋体" w:cs="宋体"/>
          <w:bCs/>
          <w:szCs w:val="21"/>
        </w:rPr>
        <w:t>—</w:t>
      </w:r>
      <w:r>
        <w:rPr>
          <w:rFonts w:ascii="宋体" w:hAnsi="宋体" w:cs="宋体"/>
          <w:bCs/>
          <w:szCs w:val="21"/>
        </w:rPr>
        <w:t>17V</w:t>
      </w:r>
    </w:p>
    <w:p>
      <w:pPr>
        <w:pStyle w:val="9"/>
        <w:numPr>
          <w:ilvl w:val="0"/>
          <w:numId w:val="2"/>
        </w:numPr>
        <w:spacing w:line="276" w:lineRule="auto"/>
        <w:ind w:firstLineChars="0"/>
        <w:rPr>
          <w:rFonts w:ascii="宋体" w:hAnsi="宋体" w:cs="宋体"/>
          <w:bCs/>
          <w:szCs w:val="21"/>
        </w:rPr>
      </w:pPr>
      <w:r>
        <w:rPr>
          <w:rFonts w:hint="eastAsia" w:ascii="宋体" w:hAnsi="宋体" w:cs="宋体"/>
          <w:bCs/>
          <w:szCs w:val="21"/>
        </w:rPr>
        <w:t>安全分类：Ⅱ类</w:t>
      </w:r>
      <w:r>
        <w:rPr>
          <w:rFonts w:ascii="宋体" w:hAnsi="宋体" w:cs="宋体"/>
          <w:bCs/>
          <w:szCs w:val="21"/>
        </w:rPr>
        <w:t>BF</w:t>
      </w:r>
      <w:r>
        <w:rPr>
          <w:rFonts w:hint="eastAsia" w:ascii="宋体" w:hAnsi="宋体" w:cs="宋体"/>
          <w:bCs/>
          <w:szCs w:val="21"/>
        </w:rPr>
        <w:t>型</w:t>
      </w:r>
    </w:p>
    <w:p>
      <w:pPr>
        <w:pStyle w:val="9"/>
        <w:numPr>
          <w:ilvl w:val="0"/>
          <w:numId w:val="2"/>
        </w:numPr>
        <w:spacing w:line="276" w:lineRule="auto"/>
        <w:ind w:firstLineChars="0"/>
        <w:rPr>
          <w:rFonts w:ascii="宋体" w:hAnsi="宋体" w:cs="宋体"/>
          <w:bCs/>
          <w:szCs w:val="21"/>
        </w:rPr>
      </w:pPr>
      <w:r>
        <w:rPr>
          <w:rFonts w:hint="eastAsia" w:ascii="宋体" w:hAnsi="宋体" w:cs="宋体"/>
          <w:bCs/>
          <w:szCs w:val="21"/>
        </w:rPr>
        <w:t>控制方式：单片机分单元控制，每一路输出独立控制工作，具备自动变频和自由选择频率功能。</w:t>
      </w:r>
    </w:p>
    <w:p>
      <w:pPr>
        <w:pStyle w:val="9"/>
        <w:numPr>
          <w:ilvl w:val="0"/>
          <w:numId w:val="2"/>
        </w:numPr>
        <w:spacing w:line="276" w:lineRule="auto"/>
        <w:ind w:firstLineChars="0"/>
        <w:rPr>
          <w:rFonts w:ascii="宋体" w:hAnsi="宋体" w:cs="宋体"/>
          <w:bCs/>
          <w:szCs w:val="21"/>
        </w:rPr>
      </w:pPr>
      <w:r>
        <w:rPr>
          <w:rFonts w:hint="eastAsia" w:ascii="宋体" w:hAnsi="宋体" w:cs="宋体"/>
          <w:bCs/>
          <w:szCs w:val="21"/>
        </w:rPr>
        <w:t>显示方式：主机由电子时钟和频率指示灯、功能键指示灯等随机显示各种治疗信息</w:t>
      </w:r>
    </w:p>
    <w:p>
      <w:pPr>
        <w:pStyle w:val="9"/>
        <w:numPr>
          <w:ilvl w:val="0"/>
          <w:numId w:val="2"/>
        </w:numPr>
        <w:spacing w:line="276" w:lineRule="auto"/>
        <w:ind w:firstLineChars="0"/>
        <w:rPr>
          <w:rFonts w:ascii="宋体" w:hAnsi="宋体" w:cs="宋体"/>
          <w:bCs/>
          <w:szCs w:val="21"/>
        </w:rPr>
      </w:pPr>
      <w:r>
        <w:rPr>
          <w:rFonts w:hint="eastAsia" w:ascii="宋体" w:hAnsi="宋体" w:cs="宋体"/>
          <w:bCs/>
          <w:szCs w:val="21"/>
        </w:rPr>
        <w:t>主机功率：＜</w:t>
      </w:r>
      <w:r>
        <w:rPr>
          <w:rFonts w:ascii="宋体" w:hAnsi="宋体" w:cs="宋体"/>
          <w:bCs/>
          <w:szCs w:val="21"/>
        </w:rPr>
        <w:t>100W</w:t>
      </w:r>
    </w:p>
    <w:p>
      <w:pPr>
        <w:pStyle w:val="9"/>
        <w:numPr>
          <w:ilvl w:val="0"/>
          <w:numId w:val="2"/>
        </w:numPr>
        <w:spacing w:line="276" w:lineRule="auto"/>
        <w:ind w:firstLineChars="0"/>
        <w:rPr>
          <w:rFonts w:ascii="宋体" w:hAnsi="宋体" w:cs="宋体"/>
          <w:bCs/>
          <w:szCs w:val="21"/>
        </w:rPr>
      </w:pPr>
      <w:r>
        <w:rPr>
          <w:rFonts w:hint="eastAsia" w:ascii="宋体" w:hAnsi="宋体" w:cs="宋体"/>
          <w:bCs/>
          <w:szCs w:val="21"/>
        </w:rPr>
        <w:t>工作条件及工作电源：环境温度：</w:t>
      </w:r>
      <w:r>
        <w:rPr>
          <w:rFonts w:ascii="宋体" w:hAnsi="宋体" w:cs="宋体"/>
          <w:bCs/>
          <w:szCs w:val="21"/>
        </w:rPr>
        <w:t>5</w:t>
      </w:r>
      <w:r>
        <w:rPr>
          <w:rFonts w:hint="eastAsia" w:ascii="宋体" w:hAnsi="宋体" w:cs="宋体"/>
          <w:bCs/>
          <w:szCs w:val="21"/>
        </w:rPr>
        <w:t>℃—</w:t>
      </w:r>
      <w:r>
        <w:rPr>
          <w:rFonts w:ascii="宋体" w:hAnsi="宋体" w:cs="宋体"/>
          <w:bCs/>
          <w:szCs w:val="21"/>
        </w:rPr>
        <w:t>40</w:t>
      </w:r>
      <w:r>
        <w:rPr>
          <w:rFonts w:hint="eastAsia" w:ascii="宋体" w:hAnsi="宋体" w:cs="宋体"/>
          <w:bCs/>
          <w:szCs w:val="21"/>
        </w:rPr>
        <w:t>℃；相对温度：≤</w:t>
      </w:r>
      <w:r>
        <w:rPr>
          <w:rFonts w:ascii="宋体" w:hAnsi="宋体" w:cs="宋体"/>
          <w:bCs/>
          <w:szCs w:val="21"/>
        </w:rPr>
        <w:t>80</w:t>
      </w:r>
      <w:r>
        <w:rPr>
          <w:rFonts w:hint="eastAsia" w:ascii="宋体" w:hAnsi="宋体" w:cs="宋体"/>
          <w:bCs/>
          <w:szCs w:val="21"/>
        </w:rPr>
        <w:t>℃。电源要求：交流</w:t>
      </w:r>
      <w:r>
        <w:rPr>
          <w:rFonts w:ascii="宋体" w:hAnsi="宋体" w:cs="宋体"/>
          <w:bCs/>
          <w:szCs w:val="21"/>
        </w:rPr>
        <w:t>220V</w:t>
      </w:r>
      <w:r>
        <w:rPr>
          <w:rFonts w:hint="eastAsia" w:ascii="宋体" w:hAnsi="宋体" w:cs="宋体"/>
          <w:bCs/>
          <w:szCs w:val="21"/>
        </w:rPr>
        <w:t>±</w:t>
      </w:r>
      <w:r>
        <w:rPr>
          <w:rFonts w:ascii="宋体" w:hAnsi="宋体" w:cs="宋体"/>
          <w:bCs/>
          <w:szCs w:val="21"/>
        </w:rPr>
        <w:t>10%</w:t>
      </w:r>
      <w:r>
        <w:rPr>
          <w:rFonts w:hint="eastAsia" w:ascii="宋体" w:hAnsi="宋体" w:cs="宋体"/>
          <w:bCs/>
          <w:szCs w:val="21"/>
        </w:rPr>
        <w:t>，</w:t>
      </w:r>
      <w:r>
        <w:rPr>
          <w:rFonts w:ascii="宋体" w:hAnsi="宋体" w:cs="宋体"/>
          <w:bCs/>
          <w:szCs w:val="21"/>
        </w:rPr>
        <w:t>50Hz</w:t>
      </w:r>
      <w:r>
        <w:rPr>
          <w:rFonts w:hint="eastAsia" w:ascii="宋体" w:hAnsi="宋体" w:cs="宋体"/>
          <w:bCs/>
          <w:szCs w:val="21"/>
        </w:rPr>
        <w:t>±</w:t>
      </w:r>
      <w:r>
        <w:rPr>
          <w:rFonts w:ascii="宋体" w:hAnsi="宋体" w:cs="宋体"/>
          <w:bCs/>
          <w:szCs w:val="21"/>
        </w:rPr>
        <w:t>2%</w:t>
      </w:r>
      <w:r>
        <w:rPr>
          <w:rFonts w:hint="eastAsia" w:ascii="宋体" w:hAnsi="宋体" w:cs="宋体"/>
          <w:bCs/>
          <w:szCs w:val="21"/>
        </w:rPr>
        <w:t>。</w:t>
      </w:r>
    </w:p>
    <w:p>
      <w:pPr>
        <w:pStyle w:val="9"/>
        <w:numPr>
          <w:ilvl w:val="0"/>
          <w:numId w:val="2"/>
        </w:numPr>
        <w:spacing w:line="276" w:lineRule="auto"/>
        <w:ind w:firstLineChars="0"/>
        <w:rPr>
          <w:rFonts w:hint="eastAsia" w:ascii="宋体" w:hAnsi="宋体" w:cs="宋体"/>
          <w:bCs/>
          <w:szCs w:val="21"/>
        </w:rPr>
      </w:pPr>
      <w:r>
        <w:rPr>
          <w:rFonts w:hint="eastAsia" w:ascii="宋体" w:hAnsi="宋体" w:cs="宋体"/>
          <w:bCs/>
          <w:szCs w:val="21"/>
        </w:rPr>
        <w:t>存储条件：相对湿度：≤93%。温度：-40℃—+55℃，无腐蚀性气体，通风良好的室内。</w:t>
      </w:r>
    </w:p>
    <w:p>
      <w:pPr>
        <w:spacing w:line="276" w:lineRule="auto"/>
        <w:rPr>
          <w:rFonts w:cs="Arial"/>
          <w:b/>
          <w:szCs w:val="21"/>
        </w:rPr>
      </w:pPr>
      <w:r>
        <w:rPr>
          <w:rFonts w:hint="eastAsia" w:cs="Arial"/>
          <w:b/>
          <w:szCs w:val="21"/>
        </w:rPr>
        <w:t>三、其他商务要求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原厂免费保修期≥3年，自用户验收合格之日起计，正版软件终身免费升级；保修期内，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四、验收要求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65F40"/>
    <w:multiLevelType w:val="multilevel"/>
    <w:tmpl w:val="3E365F40"/>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E79326C"/>
    <w:multiLevelType w:val="multilevel"/>
    <w:tmpl w:val="7E79326C"/>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85"/>
    <w:rsid w:val="003519F7"/>
    <w:rsid w:val="003A2ECE"/>
    <w:rsid w:val="0041792D"/>
    <w:rsid w:val="00495B04"/>
    <w:rsid w:val="0054508E"/>
    <w:rsid w:val="005936B4"/>
    <w:rsid w:val="006D4790"/>
    <w:rsid w:val="00812385"/>
    <w:rsid w:val="008208C2"/>
    <w:rsid w:val="008512B6"/>
    <w:rsid w:val="008A414B"/>
    <w:rsid w:val="0091715B"/>
    <w:rsid w:val="009E6DB3"/>
    <w:rsid w:val="00A32CB1"/>
    <w:rsid w:val="00AD5E18"/>
    <w:rsid w:val="00B91724"/>
    <w:rsid w:val="00BF163E"/>
    <w:rsid w:val="00CB7D64"/>
    <w:rsid w:val="00E10FF1"/>
    <w:rsid w:val="00F1137F"/>
    <w:rsid w:val="00F346AD"/>
    <w:rsid w:val="00FC7073"/>
    <w:rsid w:val="30720EFB"/>
    <w:rsid w:val="748A6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footer"/>
    <w:basedOn w:val="1"/>
    <w:link w:val="8"/>
    <w:unhideWhenUsed/>
    <w:uiPriority w:val="0"/>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272</Words>
  <Characters>1555</Characters>
  <Lines>12</Lines>
  <Paragraphs>3</Paragraphs>
  <TotalTime>43</TotalTime>
  <ScaleCrop>false</ScaleCrop>
  <LinksUpToDate>false</LinksUpToDate>
  <CharactersWithSpaces>1824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2022-08-11T10:11:00Z</dcterms:created>
  <dc:creator>SFY</dc:creator>
  <cp:lastModifiedBy>潘瑜</cp:lastModifiedBy>
  <dcterms:modified xsi:type="dcterms:W3CDTF">2022-08-16T07:22:56Z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