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b/>
          <w:bCs/>
          <w:sz w:val="28"/>
          <w:szCs w:val="21"/>
          <w:lang w:val="en-US" w:eastAsia="zh-CN"/>
        </w:rPr>
      </w:pPr>
      <w:r>
        <w:rPr>
          <w:rFonts w:hint="eastAsia"/>
          <w:b/>
          <w:bCs/>
          <w:sz w:val="28"/>
          <w:szCs w:val="21"/>
          <w:lang w:val="en-US" w:eastAsia="zh-CN"/>
        </w:rPr>
        <w:t>UPS主机采购需求</w:t>
      </w:r>
    </w:p>
    <w:p>
      <w:pPr>
        <w:numPr>
          <w:ilvl w:val="0"/>
          <w:numId w:val="0"/>
        </w:numPr>
        <w:rPr>
          <w:rFonts w:hint="eastAsia"/>
          <w:lang w:val="en-US" w:eastAsia="zh-CN"/>
        </w:rPr>
      </w:pPr>
      <w:r>
        <w:rPr>
          <w:rFonts w:hint="eastAsia"/>
          <w:b/>
          <w:bCs/>
          <w:lang w:val="en-US" w:eastAsia="zh-CN"/>
        </w:rPr>
        <w:t>一、</w:t>
      </w:r>
      <w:r>
        <w:rPr>
          <w:rFonts w:hint="eastAsia"/>
          <w:b/>
          <w:bCs/>
          <w:lang w:val="en-US" w:eastAsia="zh-CN"/>
        </w:rPr>
        <w:t>采购标的</w:t>
      </w:r>
      <w:r>
        <w:rPr>
          <w:rFonts w:hint="eastAsia"/>
          <w:lang w:val="en-US" w:eastAsia="zh-CN"/>
        </w:rPr>
        <w:t>：10KVA主机2台，20KVA主机1台</w:t>
      </w:r>
    </w:p>
    <w:p>
      <w:pPr>
        <w:numPr>
          <w:ilvl w:val="0"/>
          <w:numId w:val="0"/>
        </w:numPr>
        <w:rPr>
          <w:rFonts w:hint="eastAsia"/>
          <w:lang w:val="en-US" w:eastAsia="zh-CN"/>
        </w:rPr>
      </w:pPr>
    </w:p>
    <w:p>
      <w:pPr>
        <w:numPr>
          <w:ilvl w:val="0"/>
          <w:numId w:val="0"/>
        </w:numPr>
        <w:rPr>
          <w:rFonts w:hint="default"/>
          <w:lang w:val="en-US" w:eastAsia="zh-CN"/>
        </w:rPr>
      </w:pPr>
      <w:r>
        <w:rPr>
          <w:rFonts w:hint="eastAsia"/>
          <w:b/>
          <w:bCs/>
          <w:lang w:val="en-US" w:eastAsia="zh-CN"/>
        </w:rPr>
        <w:t>二、</w:t>
      </w:r>
      <w:r>
        <w:rPr>
          <w:rFonts w:hint="eastAsia"/>
          <w:b/>
          <w:bCs/>
          <w:lang w:val="en-US" w:eastAsia="zh-CN"/>
        </w:rPr>
        <w:t>采购总预算</w:t>
      </w:r>
      <w:r>
        <w:rPr>
          <w:rFonts w:hint="eastAsia"/>
          <w:lang w:val="en-US" w:eastAsia="zh-CN"/>
        </w:rPr>
        <w:t>：3.3万元</w:t>
      </w:r>
    </w:p>
    <w:p>
      <w:pPr>
        <w:numPr>
          <w:ilvl w:val="0"/>
          <w:numId w:val="0"/>
        </w:numPr>
        <w:rPr>
          <w:rFonts w:hint="eastAsia"/>
          <w:lang w:val="en-US" w:eastAsia="zh-CN"/>
        </w:rPr>
      </w:pPr>
    </w:p>
    <w:p>
      <w:pPr>
        <w:numPr>
          <w:ilvl w:val="0"/>
          <w:numId w:val="0"/>
        </w:numPr>
        <w:rPr>
          <w:rFonts w:hint="eastAsia"/>
          <w:b/>
          <w:bCs/>
          <w:lang w:val="en-US" w:eastAsia="zh-CN"/>
        </w:rPr>
      </w:pPr>
      <w:r>
        <w:rPr>
          <w:rFonts w:hint="eastAsia"/>
          <w:b/>
          <w:bCs/>
          <w:lang w:val="en-US" w:eastAsia="zh-CN"/>
        </w:rPr>
        <w:t>三、</w:t>
      </w:r>
      <w:r>
        <w:rPr>
          <w:rFonts w:hint="eastAsia"/>
          <w:b/>
          <w:bCs/>
          <w:lang w:val="en-US" w:eastAsia="zh-CN"/>
        </w:rPr>
        <w:t>技术要求</w:t>
      </w:r>
    </w:p>
    <w:p>
      <w:pPr>
        <w:numPr>
          <w:ilvl w:val="0"/>
          <w:numId w:val="0"/>
        </w:numPr>
        <w:rPr>
          <w:rFonts w:hint="eastAsia"/>
          <w:b/>
          <w:bCs/>
          <w:lang w:val="en-US" w:eastAsia="zh-CN"/>
        </w:rPr>
      </w:pPr>
      <w:r>
        <w:rPr>
          <w:rFonts w:hint="eastAsia"/>
          <w:lang w:val="en-US" w:eastAsia="zh-CN"/>
        </w:rPr>
        <w:t>（一）</w:t>
      </w:r>
      <w:r>
        <w:rPr>
          <w:rFonts w:hint="eastAsia"/>
          <w:b/>
          <w:bCs/>
          <w:lang w:val="en-US" w:eastAsia="zh-CN"/>
        </w:rPr>
        <w:t>10K UPS</w:t>
      </w:r>
    </w:p>
    <w:p>
      <w:pPr>
        <w:widowControl w:val="0"/>
        <w:numPr>
          <w:ilvl w:val="0"/>
          <w:numId w:val="1"/>
        </w:numPr>
        <w:tabs>
          <w:tab w:val="left" w:pos="420"/>
        </w:tabs>
        <w:jc w:val="both"/>
        <w:rPr>
          <w:szCs w:val="22"/>
        </w:rPr>
      </w:pPr>
      <w:r>
        <w:rPr>
          <w:rFonts w:hint="eastAsia"/>
          <w:szCs w:val="22"/>
        </w:rPr>
        <w:t>额定容量</w:t>
      </w:r>
      <w:r>
        <w:rPr>
          <w:rFonts w:hint="eastAsia" w:ascii="宋体" w:hAnsi="宋体"/>
          <w:szCs w:val="22"/>
        </w:rPr>
        <w:t>≧</w:t>
      </w:r>
      <w:r>
        <w:rPr>
          <w:rFonts w:hint="eastAsia"/>
          <w:szCs w:val="22"/>
        </w:rPr>
        <w:t>10KVA；</w:t>
      </w:r>
    </w:p>
    <w:p>
      <w:pPr>
        <w:widowControl w:val="0"/>
        <w:numPr>
          <w:ilvl w:val="0"/>
          <w:numId w:val="1"/>
        </w:numPr>
        <w:tabs>
          <w:tab w:val="left" w:pos="420"/>
        </w:tabs>
        <w:jc w:val="both"/>
        <w:rPr>
          <w:szCs w:val="22"/>
        </w:rPr>
      </w:pPr>
      <w:r>
        <w:rPr>
          <w:rFonts w:hint="eastAsia"/>
          <w:szCs w:val="22"/>
        </w:rPr>
        <w:t>输入电压范围：110V～300Vac；提供彩页证明</w:t>
      </w:r>
      <w:r>
        <w:rPr>
          <w:rFonts w:hint="eastAsia"/>
          <w:szCs w:val="22"/>
          <w:lang w:eastAsia="zh-CN"/>
        </w:rPr>
        <w:t>；</w:t>
      </w:r>
    </w:p>
    <w:p>
      <w:pPr>
        <w:widowControl w:val="0"/>
        <w:numPr>
          <w:ilvl w:val="0"/>
          <w:numId w:val="1"/>
        </w:numPr>
        <w:tabs>
          <w:tab w:val="left" w:pos="420"/>
        </w:tabs>
        <w:jc w:val="both"/>
        <w:rPr>
          <w:szCs w:val="22"/>
        </w:rPr>
      </w:pPr>
      <w:r>
        <w:rPr>
          <w:rFonts w:hint="eastAsia"/>
          <w:szCs w:val="22"/>
        </w:rPr>
        <w:t>输入功率因素≥0.99，市电：整机效率&gt;93%；</w:t>
      </w:r>
    </w:p>
    <w:p>
      <w:pPr>
        <w:widowControl w:val="0"/>
        <w:numPr>
          <w:ilvl w:val="0"/>
          <w:numId w:val="1"/>
        </w:numPr>
        <w:tabs>
          <w:tab w:val="left" w:pos="420"/>
        </w:tabs>
        <w:jc w:val="both"/>
        <w:rPr>
          <w:szCs w:val="22"/>
        </w:rPr>
      </w:pPr>
      <w:r>
        <w:rPr>
          <w:rFonts w:hint="eastAsia"/>
          <w:szCs w:val="22"/>
        </w:rPr>
        <w:t>输出电压为额定208/220/230/240VAC；</w:t>
      </w:r>
    </w:p>
    <w:p>
      <w:pPr>
        <w:widowControl w:val="0"/>
        <w:numPr>
          <w:ilvl w:val="0"/>
          <w:numId w:val="1"/>
        </w:numPr>
        <w:tabs>
          <w:tab w:val="left" w:pos="420"/>
        </w:tabs>
        <w:jc w:val="both"/>
        <w:rPr>
          <w:szCs w:val="22"/>
        </w:rPr>
      </w:pPr>
      <w:r>
        <w:rPr>
          <w:rFonts w:hint="eastAsia"/>
          <w:szCs w:val="22"/>
        </w:rPr>
        <w:t>输出谐波失真：≤3%(线性负载)，≤5%（非线性负载）</w:t>
      </w:r>
    </w:p>
    <w:p>
      <w:pPr>
        <w:widowControl w:val="0"/>
        <w:numPr>
          <w:ilvl w:val="0"/>
          <w:numId w:val="1"/>
        </w:numPr>
        <w:tabs>
          <w:tab w:val="left" w:pos="420"/>
        </w:tabs>
        <w:jc w:val="both"/>
        <w:rPr>
          <w:szCs w:val="22"/>
        </w:rPr>
      </w:pPr>
      <w:r>
        <w:rPr>
          <w:rFonts w:hint="eastAsia"/>
          <w:szCs w:val="22"/>
        </w:rPr>
        <w:t>电压稳定度：±1%（静态）；±2%（典型）；</w:t>
      </w:r>
    </w:p>
    <w:p>
      <w:pPr>
        <w:widowControl w:val="0"/>
        <w:numPr>
          <w:ilvl w:val="0"/>
          <w:numId w:val="1"/>
        </w:numPr>
        <w:tabs>
          <w:tab w:val="left" w:pos="420"/>
        </w:tabs>
        <w:jc w:val="both"/>
        <w:rPr>
          <w:szCs w:val="22"/>
        </w:rPr>
      </w:pPr>
      <w:r>
        <w:rPr>
          <w:rFonts w:hint="eastAsia"/>
          <w:szCs w:val="22"/>
        </w:rPr>
        <w:t>输出频率：50/60±0.1Hz；</w:t>
      </w:r>
    </w:p>
    <w:p>
      <w:pPr>
        <w:widowControl w:val="0"/>
        <w:numPr>
          <w:ilvl w:val="0"/>
          <w:numId w:val="1"/>
        </w:numPr>
        <w:tabs>
          <w:tab w:val="left" w:pos="420"/>
        </w:tabs>
        <w:jc w:val="both"/>
        <w:rPr>
          <w:szCs w:val="22"/>
        </w:rPr>
      </w:pPr>
      <w:r>
        <w:rPr>
          <w:rFonts w:hint="eastAsia"/>
          <w:szCs w:val="22"/>
        </w:rPr>
        <w:t>旁路在跟踪范围之内与逆变器之间的同步转换：0毫秒；</w:t>
      </w:r>
    </w:p>
    <w:p>
      <w:pPr>
        <w:widowControl w:val="0"/>
        <w:numPr>
          <w:ilvl w:val="0"/>
          <w:numId w:val="1"/>
        </w:numPr>
        <w:tabs>
          <w:tab w:val="left" w:pos="420"/>
        </w:tabs>
        <w:jc w:val="both"/>
        <w:rPr>
          <w:szCs w:val="22"/>
        </w:rPr>
      </w:pPr>
      <w:r>
        <w:rPr>
          <w:rFonts w:hint="eastAsia"/>
          <w:szCs w:val="22"/>
        </w:rPr>
        <w:t>逆变器过载能力：市电：100%~110%: 30 分钟；110%~130%: 5 分钟；&gt;130% : 10 秒过载后，转旁路,电池：100%~110%:3 分钟；110%~130%: 30 秒；&gt;130% : 10 秒过载后，转旁路；</w:t>
      </w:r>
    </w:p>
    <w:p>
      <w:pPr>
        <w:widowControl w:val="0"/>
        <w:numPr>
          <w:ilvl w:val="0"/>
          <w:numId w:val="1"/>
        </w:numPr>
        <w:tabs>
          <w:tab w:val="left" w:pos="420"/>
        </w:tabs>
        <w:jc w:val="both"/>
        <w:rPr>
          <w:szCs w:val="22"/>
        </w:rPr>
      </w:pPr>
      <w:r>
        <w:rPr>
          <w:rFonts w:hint="eastAsia"/>
          <w:szCs w:val="22"/>
        </w:rPr>
        <w:t>UPS 输出功率因数≧ 0.8；</w:t>
      </w:r>
    </w:p>
    <w:p>
      <w:pPr>
        <w:widowControl w:val="0"/>
        <w:numPr>
          <w:ilvl w:val="0"/>
          <w:numId w:val="1"/>
        </w:numPr>
        <w:tabs>
          <w:tab w:val="left" w:pos="420"/>
        </w:tabs>
        <w:jc w:val="both"/>
        <w:rPr>
          <w:szCs w:val="22"/>
        </w:rPr>
      </w:pPr>
      <w:r>
        <w:rPr>
          <w:rFonts w:hint="eastAsia"/>
          <w:szCs w:val="22"/>
        </w:rPr>
        <w:t>工作温度0 ~ 40°C；</w:t>
      </w:r>
    </w:p>
    <w:p>
      <w:pPr>
        <w:widowControl w:val="0"/>
        <w:numPr>
          <w:ilvl w:val="0"/>
          <w:numId w:val="1"/>
        </w:numPr>
        <w:tabs>
          <w:tab w:val="left" w:pos="420"/>
        </w:tabs>
        <w:jc w:val="both"/>
        <w:rPr>
          <w:szCs w:val="22"/>
        </w:rPr>
      </w:pPr>
      <w:r>
        <w:rPr>
          <w:rFonts w:hint="eastAsia"/>
          <w:szCs w:val="22"/>
        </w:rPr>
        <w:t>UPS标配RS232通信接口</w:t>
      </w:r>
      <w:r>
        <w:rPr>
          <w:rFonts w:hint="eastAsia"/>
          <w:szCs w:val="22"/>
          <w:lang w:eastAsia="zh-CN"/>
        </w:rPr>
        <w:t>，</w:t>
      </w:r>
      <w:r>
        <w:rPr>
          <w:rFonts w:hint="eastAsia"/>
          <w:szCs w:val="22"/>
        </w:rPr>
        <w:t>UPS具有远程在线自诊断，故障音响报警，远方监视控制功能。提供电源管理软件可以在主流操作系统下运行，通过网络监视UPS系统的运行状况，并具备短信报警功能，监控软件应能支持虚拟机操作。</w:t>
      </w:r>
    </w:p>
    <w:p>
      <w:pPr>
        <w:widowControl w:val="0"/>
        <w:numPr>
          <w:ilvl w:val="0"/>
          <w:numId w:val="1"/>
        </w:numPr>
        <w:tabs>
          <w:tab w:val="left" w:pos="420"/>
        </w:tabs>
        <w:jc w:val="both"/>
        <w:rPr>
          <w:szCs w:val="22"/>
        </w:rPr>
      </w:pPr>
      <w:r>
        <w:rPr>
          <w:rFonts w:hint="eastAsia"/>
          <w:szCs w:val="22"/>
          <w:lang w:eastAsia="zh-CN"/>
        </w:rPr>
        <w:t>可具备兼容第三方软件动环监控系统。</w:t>
      </w:r>
    </w:p>
    <w:p>
      <w:pPr>
        <w:widowControl w:val="0"/>
        <w:numPr>
          <w:ilvl w:val="0"/>
          <w:numId w:val="1"/>
        </w:numPr>
        <w:tabs>
          <w:tab w:val="left" w:pos="420"/>
        </w:tabs>
        <w:jc w:val="both"/>
        <w:rPr>
          <w:szCs w:val="22"/>
        </w:rPr>
      </w:pPr>
      <w:r>
        <w:rPr>
          <w:rFonts w:hint="eastAsia"/>
          <w:szCs w:val="22"/>
        </w:rPr>
        <w:t>具备和医院现有设备的多个不同品牌的UPS实现并机的功能</w:t>
      </w:r>
      <w:r>
        <w:rPr>
          <w:rFonts w:hint="eastAsia"/>
          <w:szCs w:val="22"/>
          <w:lang w:eastAsia="zh-CN"/>
        </w:rPr>
        <w:t>。</w:t>
      </w:r>
    </w:p>
    <w:p>
      <w:pPr>
        <w:numPr>
          <w:ilvl w:val="0"/>
          <w:numId w:val="0"/>
        </w:numPr>
        <w:rPr>
          <w:rFonts w:hint="eastAsia"/>
          <w:szCs w:val="22"/>
          <w:lang w:eastAsia="zh-CN"/>
        </w:rPr>
      </w:pPr>
    </w:p>
    <w:p>
      <w:pPr>
        <w:numPr>
          <w:ilvl w:val="0"/>
          <w:numId w:val="0"/>
        </w:numPr>
        <w:rPr>
          <w:rFonts w:hint="eastAsia"/>
          <w:b/>
          <w:bCs/>
          <w:lang w:val="en-US" w:eastAsia="zh-CN"/>
        </w:rPr>
      </w:pPr>
      <w:r>
        <w:rPr>
          <w:rFonts w:hint="eastAsia"/>
          <w:szCs w:val="22"/>
          <w:lang w:eastAsia="zh-CN"/>
        </w:rPr>
        <w:t>（</w:t>
      </w:r>
      <w:r>
        <w:rPr>
          <w:rFonts w:hint="eastAsia"/>
          <w:szCs w:val="22"/>
          <w:lang w:val="en-US" w:eastAsia="zh-CN"/>
        </w:rPr>
        <w:t>二</w:t>
      </w:r>
      <w:r>
        <w:rPr>
          <w:rFonts w:hint="eastAsia"/>
          <w:szCs w:val="22"/>
          <w:lang w:eastAsia="zh-CN"/>
        </w:rPr>
        <w:t>）</w:t>
      </w:r>
      <w:r>
        <w:rPr>
          <w:rFonts w:hint="eastAsia"/>
          <w:szCs w:val="22"/>
          <w:lang w:val="en-US" w:eastAsia="zh-CN"/>
        </w:rPr>
        <w:t>2</w:t>
      </w:r>
      <w:r>
        <w:rPr>
          <w:rFonts w:hint="eastAsia" w:ascii="Times New Roman" w:eastAsia="宋体"/>
          <w:b/>
          <w:bCs/>
          <w:lang w:val="en-US" w:eastAsia="zh-CN"/>
        </w:rPr>
        <w:t>0K UPS</w:t>
      </w:r>
    </w:p>
    <w:p>
      <w:pPr>
        <w:widowControl w:val="0"/>
        <w:numPr>
          <w:ilvl w:val="0"/>
          <w:numId w:val="2"/>
        </w:numPr>
        <w:tabs>
          <w:tab w:val="left" w:pos="420"/>
        </w:tabs>
        <w:jc w:val="both"/>
        <w:rPr>
          <w:szCs w:val="22"/>
        </w:rPr>
      </w:pPr>
      <w:r>
        <w:rPr>
          <w:rFonts w:hint="eastAsia"/>
          <w:szCs w:val="22"/>
        </w:rPr>
        <w:t>额定容量</w:t>
      </w:r>
      <w:r>
        <w:rPr>
          <w:rFonts w:hint="eastAsia" w:ascii="宋体" w:hAnsi="宋体"/>
          <w:szCs w:val="22"/>
        </w:rPr>
        <w:t>≧</w:t>
      </w:r>
      <w:r>
        <w:rPr>
          <w:rFonts w:hint="eastAsia"/>
          <w:szCs w:val="22"/>
        </w:rPr>
        <w:t>20KVA；</w:t>
      </w:r>
    </w:p>
    <w:p>
      <w:pPr>
        <w:widowControl w:val="0"/>
        <w:numPr>
          <w:ilvl w:val="0"/>
          <w:numId w:val="2"/>
        </w:numPr>
        <w:tabs>
          <w:tab w:val="left" w:pos="420"/>
        </w:tabs>
        <w:jc w:val="both"/>
        <w:rPr>
          <w:szCs w:val="22"/>
        </w:rPr>
      </w:pPr>
      <w:r>
        <w:rPr>
          <w:rFonts w:hint="eastAsia"/>
          <w:szCs w:val="22"/>
        </w:rPr>
        <w:t>具备直流启动功能；</w:t>
      </w:r>
    </w:p>
    <w:p>
      <w:pPr>
        <w:widowControl w:val="0"/>
        <w:numPr>
          <w:ilvl w:val="0"/>
          <w:numId w:val="2"/>
        </w:numPr>
        <w:tabs>
          <w:tab w:val="left" w:pos="420"/>
        </w:tabs>
        <w:jc w:val="both"/>
        <w:rPr>
          <w:szCs w:val="22"/>
        </w:rPr>
      </w:pPr>
      <w:r>
        <w:rPr>
          <w:rFonts w:hint="eastAsia"/>
          <w:szCs w:val="22"/>
        </w:rPr>
        <w:t>输入电压：</w:t>
      </w:r>
      <w:r>
        <w:rPr>
          <w:szCs w:val="22"/>
        </w:rPr>
        <w:t>305-478VAC</w:t>
      </w:r>
      <w:r>
        <w:rPr>
          <w:rFonts w:hint="eastAsia"/>
          <w:szCs w:val="22"/>
        </w:rPr>
        <w:t>；</w:t>
      </w:r>
    </w:p>
    <w:p>
      <w:pPr>
        <w:widowControl w:val="0"/>
        <w:numPr>
          <w:ilvl w:val="0"/>
          <w:numId w:val="2"/>
        </w:numPr>
        <w:tabs>
          <w:tab w:val="left" w:pos="420"/>
        </w:tabs>
        <w:jc w:val="both"/>
        <w:rPr>
          <w:szCs w:val="22"/>
        </w:rPr>
      </w:pPr>
      <w:r>
        <w:rPr>
          <w:rFonts w:hint="eastAsia"/>
          <w:szCs w:val="22"/>
        </w:rPr>
        <w:t>输入频率范围：4</w:t>
      </w:r>
      <w:r>
        <w:rPr>
          <w:szCs w:val="22"/>
        </w:rPr>
        <w:t>6</w:t>
      </w:r>
      <w:r>
        <w:rPr>
          <w:rFonts w:hint="eastAsia"/>
          <w:szCs w:val="22"/>
        </w:rPr>
        <w:t>~</w:t>
      </w:r>
      <w:r>
        <w:rPr>
          <w:szCs w:val="22"/>
        </w:rPr>
        <w:t>54</w:t>
      </w:r>
      <w:r>
        <w:rPr>
          <w:rFonts w:hint="eastAsia"/>
          <w:szCs w:val="22"/>
        </w:rPr>
        <w:t>Hz；</w:t>
      </w:r>
    </w:p>
    <w:p>
      <w:pPr>
        <w:widowControl w:val="0"/>
        <w:numPr>
          <w:ilvl w:val="0"/>
          <w:numId w:val="2"/>
        </w:numPr>
        <w:tabs>
          <w:tab w:val="left" w:pos="420"/>
        </w:tabs>
        <w:jc w:val="both"/>
        <w:rPr>
          <w:szCs w:val="22"/>
        </w:rPr>
      </w:pPr>
      <w:r>
        <w:rPr>
          <w:rFonts w:hint="eastAsia"/>
          <w:szCs w:val="22"/>
        </w:rPr>
        <w:t>输入功率因素≥0.99，市电：整机效率≧</w:t>
      </w:r>
      <w:r>
        <w:rPr>
          <w:szCs w:val="22"/>
        </w:rPr>
        <w:t>89</w:t>
      </w:r>
      <w:r>
        <w:rPr>
          <w:rFonts w:hint="eastAsia"/>
          <w:szCs w:val="22"/>
        </w:rPr>
        <w:t>%；</w:t>
      </w:r>
    </w:p>
    <w:p>
      <w:pPr>
        <w:widowControl w:val="0"/>
        <w:numPr>
          <w:ilvl w:val="0"/>
          <w:numId w:val="2"/>
        </w:numPr>
        <w:tabs>
          <w:tab w:val="left" w:pos="420"/>
        </w:tabs>
        <w:jc w:val="both"/>
        <w:rPr>
          <w:szCs w:val="22"/>
        </w:rPr>
      </w:pPr>
      <w:r>
        <w:rPr>
          <w:rFonts w:hint="eastAsia"/>
          <w:szCs w:val="22"/>
        </w:rPr>
        <w:t>输出电压为</w:t>
      </w:r>
      <w:r>
        <w:rPr>
          <w:szCs w:val="22"/>
        </w:rPr>
        <w:t>208/220/230/240VAC</w:t>
      </w:r>
    </w:p>
    <w:p>
      <w:pPr>
        <w:widowControl w:val="0"/>
        <w:numPr>
          <w:ilvl w:val="0"/>
          <w:numId w:val="2"/>
        </w:numPr>
        <w:tabs>
          <w:tab w:val="left" w:pos="420"/>
        </w:tabs>
        <w:jc w:val="both"/>
        <w:rPr>
          <w:szCs w:val="22"/>
        </w:rPr>
      </w:pPr>
      <w:r>
        <w:rPr>
          <w:rFonts w:hint="eastAsia"/>
          <w:szCs w:val="22"/>
        </w:rPr>
        <w:t>输出谐波失真：≤</w:t>
      </w:r>
      <w:r>
        <w:rPr>
          <w:szCs w:val="22"/>
        </w:rPr>
        <w:t>3</w:t>
      </w:r>
      <w:r>
        <w:rPr>
          <w:rFonts w:hint="eastAsia"/>
          <w:szCs w:val="22"/>
        </w:rPr>
        <w:t>%(线性负载)，≤</w:t>
      </w:r>
      <w:r>
        <w:rPr>
          <w:szCs w:val="22"/>
        </w:rPr>
        <w:t>5</w:t>
      </w:r>
      <w:r>
        <w:rPr>
          <w:rFonts w:hint="eastAsia"/>
          <w:szCs w:val="22"/>
        </w:rPr>
        <w:t>%（非线性负载）；</w:t>
      </w:r>
    </w:p>
    <w:p>
      <w:pPr>
        <w:widowControl w:val="0"/>
        <w:numPr>
          <w:ilvl w:val="0"/>
          <w:numId w:val="2"/>
        </w:numPr>
        <w:tabs>
          <w:tab w:val="left" w:pos="420"/>
        </w:tabs>
        <w:jc w:val="both"/>
        <w:rPr>
          <w:szCs w:val="22"/>
        </w:rPr>
      </w:pPr>
      <w:r>
        <w:rPr>
          <w:rFonts w:hint="eastAsia"/>
          <w:szCs w:val="22"/>
        </w:rPr>
        <w:t>电压稳定度：±1%</w:t>
      </w:r>
    </w:p>
    <w:p>
      <w:pPr>
        <w:widowControl w:val="0"/>
        <w:numPr>
          <w:ilvl w:val="0"/>
          <w:numId w:val="2"/>
        </w:numPr>
        <w:tabs>
          <w:tab w:val="left" w:pos="420"/>
        </w:tabs>
        <w:jc w:val="both"/>
        <w:rPr>
          <w:szCs w:val="22"/>
        </w:rPr>
      </w:pPr>
      <w:r>
        <w:rPr>
          <w:rFonts w:hint="eastAsia"/>
          <w:szCs w:val="22"/>
        </w:rPr>
        <w:t>输出频率：50/60±0.1Hz；</w:t>
      </w:r>
    </w:p>
    <w:p>
      <w:pPr>
        <w:widowControl w:val="0"/>
        <w:numPr>
          <w:ilvl w:val="0"/>
          <w:numId w:val="2"/>
        </w:numPr>
        <w:tabs>
          <w:tab w:val="left" w:pos="420"/>
        </w:tabs>
        <w:jc w:val="both"/>
        <w:rPr>
          <w:szCs w:val="22"/>
        </w:rPr>
      </w:pPr>
      <w:r>
        <w:rPr>
          <w:rFonts w:hint="eastAsia"/>
          <w:szCs w:val="22"/>
        </w:rPr>
        <w:t>旁路在跟踪范围之内与逆变器之间的同步转换：0毫秒；</w:t>
      </w:r>
    </w:p>
    <w:p>
      <w:pPr>
        <w:widowControl w:val="0"/>
        <w:numPr>
          <w:ilvl w:val="0"/>
          <w:numId w:val="2"/>
        </w:numPr>
        <w:tabs>
          <w:tab w:val="left" w:pos="420"/>
        </w:tabs>
        <w:jc w:val="both"/>
        <w:rPr>
          <w:szCs w:val="22"/>
        </w:rPr>
      </w:pPr>
      <w:r>
        <w:rPr>
          <w:rFonts w:hint="eastAsia"/>
          <w:szCs w:val="22"/>
        </w:rPr>
        <w:t xml:space="preserve">逆变器过载能力：100-110% </w:t>
      </w:r>
      <w:r>
        <w:rPr>
          <w:szCs w:val="22"/>
        </w:rPr>
        <w:t>1</w:t>
      </w:r>
      <w:r>
        <w:rPr>
          <w:rFonts w:hint="eastAsia"/>
          <w:szCs w:val="22"/>
        </w:rPr>
        <w:t>0 分钟，111-1</w:t>
      </w:r>
      <w:r>
        <w:rPr>
          <w:szCs w:val="22"/>
        </w:rPr>
        <w:t>30</w:t>
      </w:r>
      <w:r>
        <w:rPr>
          <w:rFonts w:hint="eastAsia"/>
          <w:szCs w:val="22"/>
        </w:rPr>
        <w:t>% 1 分钟，&gt;1</w:t>
      </w:r>
      <w:r>
        <w:rPr>
          <w:szCs w:val="22"/>
        </w:rPr>
        <w:t>3</w:t>
      </w:r>
      <w:r>
        <w:rPr>
          <w:rFonts w:hint="eastAsia"/>
          <w:szCs w:val="22"/>
        </w:rPr>
        <w:t>0%1 秒过载后，转旁路；</w:t>
      </w:r>
    </w:p>
    <w:p>
      <w:pPr>
        <w:widowControl w:val="0"/>
        <w:numPr>
          <w:ilvl w:val="0"/>
          <w:numId w:val="2"/>
        </w:numPr>
        <w:tabs>
          <w:tab w:val="left" w:pos="420"/>
        </w:tabs>
        <w:jc w:val="both"/>
        <w:rPr>
          <w:szCs w:val="22"/>
        </w:rPr>
      </w:pPr>
      <w:r>
        <w:rPr>
          <w:rFonts w:hint="eastAsia"/>
          <w:szCs w:val="22"/>
        </w:rPr>
        <w:t>工作温度0 ~ 40°C；</w:t>
      </w:r>
    </w:p>
    <w:p>
      <w:pPr>
        <w:widowControl w:val="0"/>
        <w:numPr>
          <w:ilvl w:val="0"/>
          <w:numId w:val="2"/>
        </w:numPr>
        <w:tabs>
          <w:tab w:val="left" w:pos="420"/>
        </w:tabs>
        <w:jc w:val="both"/>
        <w:rPr>
          <w:szCs w:val="22"/>
        </w:rPr>
      </w:pPr>
      <w:r>
        <w:rPr>
          <w:rFonts w:hint="eastAsia"/>
          <w:szCs w:val="22"/>
        </w:rPr>
        <w:t>UPS标配RS232通信接口；UPS具有远程在线自诊断，故障音响报警，远方监视控制功能。提供电源管理软件可以在主流操作系统下运行，通过网络监视UPS系统的运行状况，并具备短信报警功能，监控软件应能支持虚拟机操作。</w:t>
      </w:r>
    </w:p>
    <w:p>
      <w:pPr>
        <w:widowControl w:val="0"/>
        <w:numPr>
          <w:ilvl w:val="0"/>
          <w:numId w:val="2"/>
        </w:numPr>
        <w:tabs>
          <w:tab w:val="left" w:pos="420"/>
        </w:tabs>
        <w:jc w:val="both"/>
        <w:rPr>
          <w:szCs w:val="22"/>
        </w:rPr>
      </w:pPr>
      <w:r>
        <w:rPr>
          <w:rFonts w:hint="eastAsia"/>
          <w:szCs w:val="22"/>
          <w:lang w:eastAsia="zh-CN"/>
        </w:rPr>
        <w:t>可具备兼容第三方软件动环监控系统。</w:t>
      </w:r>
    </w:p>
    <w:p>
      <w:pPr>
        <w:widowControl w:val="0"/>
        <w:numPr>
          <w:ilvl w:val="0"/>
          <w:numId w:val="2"/>
        </w:numPr>
        <w:tabs>
          <w:tab w:val="left" w:pos="420"/>
        </w:tabs>
        <w:jc w:val="both"/>
        <w:rPr>
          <w:rFonts w:hint="default" w:ascii="宋体" w:hAnsi="宋体" w:cs="Arial"/>
          <w:lang w:val="en-US" w:eastAsia="zh-CN"/>
        </w:rPr>
      </w:pPr>
      <w:r>
        <w:rPr>
          <w:rFonts w:hint="eastAsia"/>
          <w:szCs w:val="22"/>
        </w:rPr>
        <w:t>具备和医院现在有设备的多个不同品牌的UPS实现并机的功能</w:t>
      </w:r>
      <w:r>
        <w:rPr>
          <w:rFonts w:hint="eastAsia"/>
          <w:szCs w:val="22"/>
          <w:lang w:eastAsia="zh-CN"/>
        </w:rPr>
        <w:t>。</w:t>
      </w:r>
    </w:p>
    <w:p>
      <w:pPr>
        <w:widowControl w:val="0"/>
        <w:numPr>
          <w:ilvl w:val="0"/>
          <w:numId w:val="0"/>
        </w:numPr>
        <w:tabs>
          <w:tab w:val="left" w:pos="420"/>
        </w:tabs>
        <w:ind w:leftChars="0"/>
        <w:jc w:val="both"/>
        <w:rPr>
          <w:rFonts w:hint="eastAsia"/>
          <w:szCs w:val="22"/>
          <w:lang w:eastAsia="zh-CN"/>
        </w:rPr>
      </w:pPr>
    </w:p>
    <w:p>
      <w:pPr>
        <w:numPr>
          <w:ilvl w:val="0"/>
          <w:numId w:val="0"/>
        </w:numPr>
        <w:rPr>
          <w:rFonts w:hint="eastAsia"/>
          <w:szCs w:val="22"/>
          <w:lang w:val="en-US" w:eastAsia="zh-CN"/>
        </w:rPr>
      </w:pPr>
      <w:r>
        <w:rPr>
          <w:rFonts w:hint="eastAsia"/>
          <w:b/>
          <w:bCs/>
          <w:szCs w:val="22"/>
          <w:lang w:val="en-US" w:eastAsia="zh-CN"/>
        </w:rPr>
        <w:t>四、其他要求</w:t>
      </w:r>
      <w:bookmarkStart w:id="0" w:name="_GoBack"/>
      <w:bookmarkEnd w:id="0"/>
    </w:p>
    <w:p>
      <w:pPr>
        <w:widowControl w:val="0"/>
        <w:numPr>
          <w:ilvl w:val="0"/>
          <w:numId w:val="0"/>
        </w:numPr>
        <w:tabs>
          <w:tab w:val="left" w:pos="420"/>
        </w:tabs>
        <w:jc w:val="both"/>
        <w:rPr>
          <w:rFonts w:hint="eastAsia"/>
          <w:szCs w:val="22"/>
          <w:lang w:val="en-US" w:eastAsia="zh-CN"/>
        </w:rPr>
      </w:pPr>
      <w:r>
        <w:rPr>
          <w:rFonts w:hint="eastAsia"/>
          <w:szCs w:val="22"/>
          <w:lang w:val="en-US" w:eastAsia="zh-CN"/>
        </w:rPr>
        <w:t>★1、保修期及维修响应：整机(含所有零配件)原厂保修期≥3年，自用户验收合格之日起计，支持正版软件终身升级</w:t>
      </w:r>
      <w:r>
        <w:rPr>
          <w:rFonts w:hint="eastAsia" w:ascii="Times New Roman" w:eastAsia="宋体"/>
          <w:szCs w:val="22"/>
          <w:lang w:val="en-US" w:eastAsia="zh-CN"/>
        </w:rPr>
        <w:t>，所有</w:t>
      </w:r>
      <w:r>
        <w:rPr>
          <w:rFonts w:hint="eastAsia"/>
          <w:szCs w:val="22"/>
          <w:lang w:val="en-US" w:eastAsia="zh-CN"/>
        </w:rPr>
        <w:t>费用</w:t>
      </w:r>
      <w:r>
        <w:rPr>
          <w:rFonts w:hint="eastAsia" w:ascii="Times New Roman" w:eastAsia="宋体"/>
          <w:szCs w:val="22"/>
          <w:lang w:val="en-US" w:eastAsia="zh-CN"/>
        </w:rPr>
        <w:t>均已包含在报价中</w:t>
      </w:r>
      <w:r>
        <w:rPr>
          <w:rFonts w:hint="eastAsia"/>
          <w:szCs w:val="22"/>
          <w:lang w:val="en-US" w:eastAsia="zh-CN"/>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若完全不能修复则由中标人更换同款整机，所有费用均已包含在报价中；</w:t>
      </w:r>
    </w:p>
    <w:p>
      <w:pPr>
        <w:widowControl w:val="0"/>
        <w:numPr>
          <w:ilvl w:val="0"/>
          <w:numId w:val="0"/>
        </w:numPr>
        <w:tabs>
          <w:tab w:val="left" w:pos="420"/>
        </w:tabs>
        <w:jc w:val="both"/>
        <w:rPr>
          <w:rFonts w:hint="eastAsia"/>
          <w:szCs w:val="22"/>
          <w:lang w:val="en-US" w:eastAsia="zh-CN"/>
        </w:rPr>
      </w:pPr>
      <w:r>
        <w:rPr>
          <w:rFonts w:hint="eastAsia"/>
          <w:szCs w:val="22"/>
          <w:lang w:val="en-US" w:eastAsia="zh-CN"/>
        </w:rPr>
        <w:t>2、安装培训要求：设备到货，接用户通知后7天内由厂家培训合格的工程师上门安装，并负责现场培训招标人操作人员至少5名，直至掌握正确使用及日常保养方法（</w:t>
      </w:r>
      <w:r>
        <w:rPr>
          <w:rFonts w:hint="eastAsia" w:ascii="Times New Roman" w:eastAsia="宋体"/>
          <w:szCs w:val="22"/>
          <w:lang w:val="en-US" w:eastAsia="zh-CN"/>
        </w:rPr>
        <w:t>所有</w:t>
      </w:r>
      <w:r>
        <w:rPr>
          <w:rFonts w:hint="eastAsia"/>
          <w:szCs w:val="22"/>
          <w:lang w:val="en-US" w:eastAsia="zh-CN"/>
        </w:rPr>
        <w:t>费用</w:t>
      </w:r>
      <w:r>
        <w:rPr>
          <w:rFonts w:hint="eastAsia" w:ascii="Times New Roman" w:eastAsia="宋体"/>
          <w:szCs w:val="22"/>
          <w:lang w:val="en-US" w:eastAsia="zh-CN"/>
        </w:rPr>
        <w:t>均已包含在报价中</w:t>
      </w:r>
      <w:r>
        <w:rPr>
          <w:rFonts w:hint="eastAsia"/>
          <w:szCs w:val="22"/>
          <w:lang w:val="en-US" w:eastAsia="zh-CN"/>
        </w:rPr>
        <w:t>），详细填写《省妇幼医学装备培训记录表》，培训资料留存使用科室。</w:t>
      </w:r>
    </w:p>
    <w:p>
      <w:pPr>
        <w:widowControl w:val="0"/>
        <w:numPr>
          <w:ilvl w:val="0"/>
          <w:numId w:val="0"/>
        </w:numPr>
        <w:tabs>
          <w:tab w:val="left" w:pos="420"/>
        </w:tabs>
        <w:jc w:val="both"/>
        <w:rPr>
          <w:rFonts w:hint="eastAsia"/>
          <w:szCs w:val="22"/>
          <w:lang w:val="en-US" w:eastAsia="zh-CN"/>
        </w:rPr>
      </w:pPr>
      <w:r>
        <w:rPr>
          <w:rFonts w:hint="eastAsia"/>
          <w:szCs w:val="22"/>
          <w:lang w:val="en-US" w:eastAsia="zh-CN"/>
        </w:rPr>
        <w:t>3、列出设备易损配件的最优惠供应单价，作为评标及日后采购参考。进口货物检验合格的出厂日期与实际到货日期间隔不超过壹年，国产货物检验合格的出厂日期与实际到货日期间隔不超过半年。</w:t>
      </w:r>
    </w:p>
    <w:p>
      <w:pPr>
        <w:widowControl w:val="0"/>
        <w:numPr>
          <w:ilvl w:val="0"/>
          <w:numId w:val="0"/>
        </w:numPr>
        <w:tabs>
          <w:tab w:val="left" w:pos="420"/>
        </w:tabs>
        <w:jc w:val="both"/>
        <w:rPr>
          <w:rFonts w:hint="eastAsia"/>
          <w:szCs w:val="22"/>
          <w:lang w:val="en-US" w:eastAsia="zh-CN"/>
        </w:rPr>
      </w:pPr>
      <w:r>
        <w:rPr>
          <w:rFonts w:hint="eastAsia"/>
          <w:szCs w:val="22"/>
          <w:lang w:val="en-US" w:eastAsia="zh-CN"/>
        </w:rPr>
        <w:t>4、售后服务：提供厂家售后服务承诺书(盖厂家公章)，为保证设备正常运行，设备生产商应在中国境内方便的地方设置备件库，存入所有必须的备件，并保证5年以上的供应期，并提供安装工程师名单和国内维修电话。保修期内至少每季度按厂家标准做一次全面保养</w:t>
      </w:r>
      <w:r>
        <w:rPr>
          <w:rFonts w:hint="eastAsia" w:ascii="Times New Roman" w:eastAsia="宋体"/>
          <w:szCs w:val="22"/>
          <w:lang w:val="en-US" w:eastAsia="zh-CN"/>
        </w:rPr>
        <w:t>（所有费用均已包含在报价中）</w:t>
      </w:r>
      <w:r>
        <w:rPr>
          <w:rFonts w:hint="eastAsia"/>
          <w:szCs w:val="22"/>
          <w:lang w:val="en-US" w:eastAsia="zh-CN"/>
        </w:rPr>
        <w:t>。</w:t>
      </w:r>
    </w:p>
    <w:p>
      <w:pPr>
        <w:widowControl w:val="0"/>
        <w:numPr>
          <w:ilvl w:val="0"/>
          <w:numId w:val="0"/>
        </w:numPr>
        <w:tabs>
          <w:tab w:val="left" w:pos="420"/>
        </w:tabs>
        <w:jc w:val="both"/>
        <w:rPr>
          <w:rFonts w:hint="eastAsia"/>
          <w:szCs w:val="22"/>
          <w:lang w:val="en-US" w:eastAsia="zh-CN"/>
        </w:rPr>
      </w:pPr>
    </w:p>
    <w:p>
      <w:pPr>
        <w:widowControl w:val="0"/>
        <w:numPr>
          <w:ilvl w:val="0"/>
          <w:numId w:val="0"/>
        </w:numPr>
        <w:tabs>
          <w:tab w:val="left" w:pos="420"/>
        </w:tabs>
        <w:jc w:val="both"/>
        <w:rPr>
          <w:rFonts w:hint="eastAsia"/>
          <w:b/>
          <w:bCs/>
          <w:szCs w:val="22"/>
          <w:lang w:val="en-US" w:eastAsia="zh-CN"/>
        </w:rPr>
      </w:pPr>
      <w:r>
        <w:rPr>
          <w:rFonts w:hint="eastAsia"/>
          <w:b/>
          <w:bCs/>
          <w:szCs w:val="22"/>
          <w:lang w:val="en-US" w:eastAsia="zh-CN"/>
        </w:rPr>
        <w:t>五、验收要求</w:t>
      </w:r>
    </w:p>
    <w:p>
      <w:pPr>
        <w:widowControl w:val="0"/>
        <w:numPr>
          <w:ilvl w:val="0"/>
          <w:numId w:val="0"/>
        </w:numPr>
        <w:tabs>
          <w:tab w:val="left" w:pos="420"/>
        </w:tabs>
        <w:jc w:val="both"/>
        <w:rPr>
          <w:rFonts w:hint="eastAsia"/>
          <w:szCs w:val="22"/>
          <w:lang w:val="en-US" w:eastAsia="zh-CN"/>
        </w:rPr>
      </w:pPr>
      <w:r>
        <w:rPr>
          <w:rFonts w:hint="eastAsia"/>
          <w:szCs w:val="22"/>
          <w:lang w:val="en-US" w:eastAsia="zh-CN"/>
        </w:rPr>
        <w:t>1、交付验收标准依次序对照适用标准为：①符合中华人民共和国国家安全质量标准、环保标准或行业标准；②符合招标文件和响应承诺中采购人认可的合理最佳配置、参数及各项要求；③货物来源国官方标准。</w:t>
      </w:r>
    </w:p>
    <w:p>
      <w:pPr>
        <w:widowControl w:val="0"/>
        <w:numPr>
          <w:ilvl w:val="0"/>
          <w:numId w:val="0"/>
        </w:numPr>
        <w:tabs>
          <w:tab w:val="left" w:pos="420"/>
        </w:tabs>
        <w:jc w:val="both"/>
        <w:rPr>
          <w:rFonts w:hint="eastAsia"/>
          <w:szCs w:val="22"/>
          <w:lang w:val="en-US" w:eastAsia="zh-CN"/>
        </w:rPr>
      </w:pPr>
      <w:r>
        <w:rPr>
          <w:rFonts w:hint="eastAsia"/>
          <w:szCs w:val="22"/>
          <w:lang w:val="en-US" w:eastAsia="zh-CN"/>
        </w:rPr>
        <w:t>2、进口产品必须具备原产地证明和商检局的检验证明及合法进货渠道证明。</w:t>
      </w:r>
    </w:p>
    <w:p>
      <w:pPr>
        <w:widowControl w:val="0"/>
        <w:numPr>
          <w:ilvl w:val="0"/>
          <w:numId w:val="0"/>
        </w:numPr>
        <w:tabs>
          <w:tab w:val="left" w:pos="420"/>
        </w:tabs>
        <w:jc w:val="both"/>
        <w:rPr>
          <w:rFonts w:hint="eastAsia"/>
          <w:szCs w:val="22"/>
          <w:lang w:val="en-US" w:eastAsia="zh-CN"/>
        </w:rPr>
      </w:pPr>
      <w:r>
        <w:rPr>
          <w:rFonts w:hint="eastAsia"/>
          <w:szCs w:val="22"/>
          <w:lang w:val="en-US" w:eastAsia="zh-CN"/>
        </w:rPr>
        <w:t>3、货物为原厂商未启封全新包装，具出厂合格证，序列号、包装箱号与出厂批号一致，并可追索查阅。所有随设备的附件必须齐全。</w:t>
      </w:r>
    </w:p>
    <w:p>
      <w:pPr>
        <w:widowControl w:val="0"/>
        <w:numPr>
          <w:ilvl w:val="0"/>
          <w:numId w:val="0"/>
        </w:numPr>
        <w:tabs>
          <w:tab w:val="left" w:pos="420"/>
        </w:tabs>
        <w:jc w:val="both"/>
        <w:rPr>
          <w:rFonts w:hint="eastAsia"/>
          <w:szCs w:val="22"/>
          <w:lang w:val="en-US" w:eastAsia="zh-CN"/>
        </w:rPr>
      </w:pPr>
      <w:r>
        <w:rPr>
          <w:rFonts w:hint="eastAsia"/>
          <w:szCs w:val="22"/>
          <w:lang w:val="en-US" w:eastAsia="zh-CN"/>
        </w:rPr>
        <w:t>4、中标人应将关键主机设备的用户手册、保修手册、有关单证资料及配备件、随机工具等交付给采购人，使用操作及安全须知等重要资料应附有中文说明。</w:t>
      </w:r>
    </w:p>
    <w:p>
      <w:pPr>
        <w:widowControl w:val="0"/>
        <w:numPr>
          <w:ilvl w:val="0"/>
          <w:numId w:val="0"/>
        </w:numPr>
        <w:tabs>
          <w:tab w:val="left" w:pos="420"/>
        </w:tabs>
        <w:jc w:val="both"/>
        <w:rPr>
          <w:rFonts w:hint="eastAsia"/>
          <w:szCs w:val="22"/>
          <w:lang w:val="en-US" w:eastAsia="zh-CN"/>
        </w:rPr>
      </w:pPr>
      <w:r>
        <w:rPr>
          <w:rFonts w:hint="eastAsia"/>
          <w:szCs w:val="22"/>
          <w:lang w:val="en-US" w:eastAsia="zh-CN"/>
        </w:rPr>
        <w:t>5、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ZLTHJW--GB1-0-Identity-H">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C7A5BC"/>
    <w:multiLevelType w:val="singleLevel"/>
    <w:tmpl w:val="8CC7A5BC"/>
    <w:lvl w:ilvl="0" w:tentative="0">
      <w:start w:val="1"/>
      <w:numFmt w:val="decimal"/>
      <w:lvlText w:val="%1."/>
      <w:lvlJc w:val="left"/>
      <w:pPr>
        <w:ind w:left="425" w:hanging="425"/>
      </w:pPr>
      <w:rPr>
        <w:rFonts w:hint="default"/>
      </w:rPr>
    </w:lvl>
  </w:abstractNum>
  <w:abstractNum w:abstractNumId="1">
    <w:nsid w:val="2A994968"/>
    <w:multiLevelType w:val="singleLevel"/>
    <w:tmpl w:val="2A99496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NTkwOWZkOTZiMDJiYjk5ODFlZDY2OGI5ZGExOWYifQ=="/>
  </w:docVars>
  <w:rsids>
    <w:rsidRoot w:val="00E96DAE"/>
    <w:rsid w:val="000343E2"/>
    <w:rsid w:val="00057F16"/>
    <w:rsid w:val="000F14FD"/>
    <w:rsid w:val="001D2A57"/>
    <w:rsid w:val="002156DE"/>
    <w:rsid w:val="00265232"/>
    <w:rsid w:val="00337962"/>
    <w:rsid w:val="00350D27"/>
    <w:rsid w:val="0038737F"/>
    <w:rsid w:val="006952DD"/>
    <w:rsid w:val="00857ED2"/>
    <w:rsid w:val="00A34E5E"/>
    <w:rsid w:val="00B37ECA"/>
    <w:rsid w:val="00CF76E8"/>
    <w:rsid w:val="00E42B65"/>
    <w:rsid w:val="00E96DAE"/>
    <w:rsid w:val="00EE46B1"/>
    <w:rsid w:val="00F94ADB"/>
    <w:rsid w:val="00FC09FE"/>
    <w:rsid w:val="05A569BF"/>
    <w:rsid w:val="07FB7C3E"/>
    <w:rsid w:val="0DBB5D95"/>
    <w:rsid w:val="15F71ACE"/>
    <w:rsid w:val="289F5676"/>
    <w:rsid w:val="2E631F0A"/>
    <w:rsid w:val="33D97ECE"/>
    <w:rsid w:val="39087C40"/>
    <w:rsid w:val="3FB665BE"/>
    <w:rsid w:val="40A11248"/>
    <w:rsid w:val="40C02286"/>
    <w:rsid w:val="47913E03"/>
    <w:rsid w:val="591438D2"/>
    <w:rsid w:val="59243595"/>
    <w:rsid w:val="59ED7AEE"/>
    <w:rsid w:val="5C1116AB"/>
    <w:rsid w:val="5CF3789D"/>
    <w:rsid w:val="5F2F7F39"/>
    <w:rsid w:val="6005543F"/>
    <w:rsid w:val="6359774B"/>
    <w:rsid w:val="6744285D"/>
    <w:rsid w:val="68592C49"/>
    <w:rsid w:val="6887419E"/>
    <w:rsid w:val="69D96E6D"/>
    <w:rsid w:val="6DBC12BD"/>
    <w:rsid w:val="764F6BBC"/>
    <w:rsid w:val="7BE575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420"/>
    </w:pPr>
    <w:rPr>
      <w:rFonts w:ascii="Times New Roman" w:hAnsi="Times New Roman" w:eastAsia="宋体" w:cs="宋体"/>
      <w:kern w:val="2"/>
      <w:sz w:val="24"/>
      <w:szCs w:val="20"/>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4"/>
    <w:qFormat/>
    <w:uiPriority w:val="0"/>
    <w:pPr>
      <w:keepNext/>
      <w:keepLines/>
      <w:adjustRightInd w:val="0"/>
      <w:ind w:left="240" w:right="240" w:rightChars="100" w:firstLine="0"/>
      <w:outlineLvl w:val="2"/>
    </w:pPr>
    <w:rPr>
      <w:rFonts w:cs="Times New Roman"/>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5"/>
    <w:qFormat/>
    <w:uiPriority w:val="99"/>
    <w:rPr>
      <w:rFonts w:asciiTheme="minorHAnsi" w:hAnsiTheme="minorHAnsi" w:eastAsiaTheme="minorEastAsia"/>
      <w:szCs w:val="22"/>
    </w:rPr>
  </w:style>
  <w:style w:type="paragraph" w:styleId="6">
    <w:name w:val="Balloon Text"/>
    <w:basedOn w:val="1"/>
    <w:link w:val="17"/>
    <w:semiHidden/>
    <w:unhideWhenUsed/>
    <w:qFormat/>
    <w:uiPriority w:val="99"/>
    <w:pPr>
      <w:spacing w:line="240" w:lineRule="auto"/>
    </w:pPr>
    <w:rPr>
      <w:sz w:val="18"/>
      <w:szCs w:val="18"/>
    </w:rPr>
  </w:style>
  <w:style w:type="paragraph" w:styleId="7">
    <w:name w:val="footer"/>
    <w:basedOn w:val="1"/>
    <w:link w:val="13"/>
    <w:unhideWhenUsed/>
    <w:qFormat/>
    <w:uiPriority w:val="99"/>
    <w:pPr>
      <w:tabs>
        <w:tab w:val="center" w:pos="4153"/>
        <w:tab w:val="right" w:pos="8306"/>
      </w:tabs>
      <w:snapToGrid w:val="0"/>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character" w:customStyle="1" w:styleId="14">
    <w:name w:val="标题 3 Char"/>
    <w:basedOn w:val="10"/>
    <w:link w:val="4"/>
    <w:qFormat/>
    <w:uiPriority w:val="0"/>
    <w:rPr>
      <w:rFonts w:ascii="Times New Roman" w:hAnsi="Times New Roman" w:eastAsia="宋体" w:cs="Times New Roman"/>
      <w:b/>
      <w:bCs/>
      <w:sz w:val="24"/>
      <w:szCs w:val="32"/>
    </w:rPr>
  </w:style>
  <w:style w:type="character" w:customStyle="1" w:styleId="15">
    <w:name w:val="批注文字 Char"/>
    <w:link w:val="5"/>
    <w:qFormat/>
    <w:uiPriority w:val="99"/>
    <w:rPr>
      <w:rFonts w:cs="宋体"/>
      <w:sz w:val="24"/>
    </w:rPr>
  </w:style>
  <w:style w:type="character" w:customStyle="1" w:styleId="16">
    <w:name w:val="批注文字 字符1"/>
    <w:basedOn w:val="10"/>
    <w:semiHidden/>
    <w:qFormat/>
    <w:uiPriority w:val="99"/>
    <w:rPr>
      <w:rFonts w:ascii="Times New Roman" w:hAnsi="Times New Roman" w:eastAsia="宋体" w:cs="宋体"/>
      <w:sz w:val="24"/>
      <w:szCs w:val="20"/>
    </w:rPr>
  </w:style>
  <w:style w:type="character" w:customStyle="1" w:styleId="17">
    <w:name w:val="批注框文本 Char"/>
    <w:basedOn w:val="10"/>
    <w:link w:val="6"/>
    <w:semiHidden/>
    <w:qFormat/>
    <w:uiPriority w:val="99"/>
    <w:rPr>
      <w:rFonts w:ascii="Times New Roman" w:hAnsi="Times New Roman" w:eastAsia="宋体" w:cs="宋体"/>
      <w:sz w:val="18"/>
      <w:szCs w:val="18"/>
    </w:rPr>
  </w:style>
  <w:style w:type="character" w:customStyle="1" w:styleId="18">
    <w:name w:val="fontstyle01"/>
    <w:basedOn w:val="10"/>
    <w:qFormat/>
    <w:uiPriority w:val="0"/>
    <w:rPr>
      <w:rFonts w:hint="default" w:ascii="FZLTHJW--GB1-0-Identity-H" w:hAnsi="FZLTHJW--GB1-0-Identity-H"/>
      <w:color w:val="3F3A39"/>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1738</Words>
  <Characters>2102</Characters>
  <Lines>16</Lines>
  <Paragraphs>4</Paragraphs>
  <TotalTime>0</TotalTime>
  <ScaleCrop>false</ScaleCrop>
  <LinksUpToDate>false</LinksUpToDate>
  <CharactersWithSpaces>2150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2023-02-02T10:20:00Z</dcterms:created>
  <dc:creator>l'r'x</dc:creator>
  <cp:lastModifiedBy>潘瑜</cp:lastModifiedBy>
  <dcterms:modified xsi:type="dcterms:W3CDTF">2023-03-09T02:03:25Z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C54B961631634EF38D802665B71B8936</vt:lpwstr>
  </property>
</Properties>
</file>