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12</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一次性使用高压注射器及附件</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78990"/>
      <w:bookmarkStart w:id="3" w:name="_Toc98580272"/>
      <w:bookmarkStart w:id="4" w:name="_Toc127930770"/>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w:t>
      </w:r>
      <w:bookmarkStart w:id="275" w:name="_GoBack"/>
      <w:bookmarkEnd w:id="275"/>
      <w:r>
        <w:rPr>
          <w:rFonts w:hint="default" w:ascii="Times New Roman" w:hAnsi="Times New Roman" w:eastAsia="黑体" w:cs="Times New Roman"/>
          <w:szCs w:val="52"/>
        </w:rPr>
        <w:t>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12</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一次性使用高压注射器及附件</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en-US" w:eastAsia="zh-CN"/>
              </w:rPr>
              <w:t>一次性使用高压注射器及附件</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24</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24</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12</w:t>
      </w:r>
      <w:r>
        <w:rPr>
          <w:rFonts w:hint="default" w:ascii="Times New Roman" w:hAnsi="Times New Roman" w:cs="Times New Roman"/>
          <w:b/>
          <w:bCs/>
          <w:sz w:val="24"/>
        </w:rPr>
        <w:t>+</w:t>
      </w:r>
      <w:r>
        <w:rPr>
          <w:rFonts w:hint="eastAsia" w:ascii="Times New Roman" w:hAnsi="Times New Roman" w:cs="Times New Roman"/>
          <w:b/>
          <w:bCs/>
          <w:sz w:val="24"/>
          <w:lang w:val="en-US" w:eastAsia="zh-CN"/>
        </w:rPr>
        <w:t>高压注射器及附件</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1884682"/>
      <w:bookmarkStart w:id="15" w:name="_Toc101843108"/>
      <w:bookmarkStart w:id="16" w:name="_Toc101775108"/>
      <w:bookmarkStart w:id="17" w:name="_Toc98578991"/>
      <w:bookmarkStart w:id="18" w:name="_Toc175644385"/>
      <w:bookmarkStart w:id="19" w:name="_Toc46308679"/>
      <w:bookmarkStart w:id="20" w:name="_Toc101951241"/>
      <w:bookmarkStart w:id="21" w:name="_Toc98035084"/>
      <w:bookmarkStart w:id="22" w:name="_Toc273520766"/>
      <w:bookmarkStart w:id="23" w:name="_Toc272497408"/>
      <w:bookmarkStart w:id="24" w:name="_Toc42394652"/>
      <w:bookmarkStart w:id="25" w:name="_Toc98579049"/>
      <w:bookmarkStart w:id="26" w:name="_Toc41723912"/>
      <w:bookmarkStart w:id="27" w:name="_Toc101771355"/>
      <w:bookmarkStart w:id="28" w:name="_Toc46308523"/>
      <w:bookmarkStart w:id="29" w:name="_Toc42313150"/>
      <w:bookmarkStart w:id="30" w:name="_Toc98579590"/>
      <w:bookmarkStart w:id="31" w:name="_Toc42394495"/>
      <w:bookmarkStart w:id="32" w:name="_Toc98580273"/>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37581421"/>
      <w:bookmarkEnd w:id="36"/>
      <w:bookmarkStart w:id="37" w:name="_Toc40762371"/>
      <w:bookmarkEnd w:id="37"/>
      <w:bookmarkStart w:id="38" w:name="_Toc37663392"/>
      <w:bookmarkEnd w:id="38"/>
      <w:bookmarkStart w:id="39" w:name="_Toc46308684"/>
      <w:bookmarkEnd w:id="39"/>
      <w:bookmarkStart w:id="40" w:name="_Toc37245277"/>
      <w:bookmarkEnd w:id="40"/>
      <w:bookmarkStart w:id="41" w:name="_Toc37331081"/>
      <w:bookmarkEnd w:id="41"/>
      <w:bookmarkStart w:id="42" w:name="_Toc46308528"/>
      <w:bookmarkEnd w:id="42"/>
      <w:bookmarkStart w:id="43" w:name="_Toc37331039"/>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一次性使用高压注射器及附件</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en-US" w:eastAsia="zh-CN"/>
              </w:rPr>
              <w:t>一次性使用高压注射器及附件</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kern w:val="2"/>
          <w:sz w:val="24"/>
          <w:lang w:val="en-US" w:eastAsia="zh-CN"/>
        </w:rPr>
        <w:t>1、1）</w:t>
      </w:r>
      <w:r>
        <w:rPr>
          <w:rFonts w:hint="default" w:ascii="Times New Roman" w:hAnsi="Times New Roman" w:cs="Times New Roman"/>
          <w:sz w:val="24"/>
          <w:lang w:val="en-US" w:eastAsia="zh-CN"/>
        </w:rPr>
        <w:t>一次性使用高压注射器及附件（单筒）</w:t>
      </w:r>
    </w:p>
    <w:p>
      <w:pPr>
        <w:widowControl w:val="0"/>
        <w:spacing w:line="360" w:lineRule="auto"/>
        <w:ind w:firstLine="960" w:firstLineChars="4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2）一次性使用高压注射器及附件（双筒）</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2、用途：</w:t>
      </w:r>
      <w:r>
        <w:rPr>
          <w:rFonts w:hint="default" w:ascii="Times New Roman" w:hAnsi="Times New Roman" w:cs="Times New Roman"/>
          <w:kern w:val="2"/>
          <w:sz w:val="24"/>
          <w:lang w:val="en-US" w:eastAsia="zh-CN"/>
        </w:rPr>
        <w:t>与CT、MRI等高压注射器配合使用，用于输注造影剂。</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▲1、产品须匹配在用日本Nemoto SONIC SHOT GX、有沃医疗CT202、集倍医疗OptiVantage、信冠医疗Zenith-H15、Zenith-C11、美国理博Optistar Mallinckrodt、德国MED TRON Touch Screen Accutron MR 高压注射器；</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2、产品配件须包含但不限于注射器、压力连接管等；</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▲3、配件耐压值＞300~＜1200Psi；</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4、产品须经环氧乙烷灭菌；</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5、产品表面应清洁无杂质，无加工缺陷和表面缺陷；</w:t>
      </w:r>
    </w:p>
    <w:p>
      <w:pPr>
        <w:widowControl w:val="0"/>
        <w:spacing w:line="360" w:lineRule="auto"/>
        <w:ind w:firstLine="480" w:firstLineChars="200"/>
        <w:jc w:val="both"/>
        <w:rPr>
          <w:rFonts w:ascii="宋体" w:hAnsi="Times New Roman" w:eastAsia="宋体" w:cs="宋体"/>
          <w:kern w:val="2"/>
          <w:szCs w:val="21"/>
        </w:rPr>
      </w:pPr>
      <w:r>
        <w:rPr>
          <w:rFonts w:hint="eastAsia" w:ascii="Times New Roman" w:hAnsi="Times New Roman" w:cs="Times New Roman"/>
          <w:sz w:val="24"/>
          <w:lang w:val="en-US" w:eastAsia="zh-CN"/>
        </w:rPr>
        <w:t>6、产品有效期应≥24个月。</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w:t>
      </w:r>
      <w:r>
        <w:rPr>
          <w:rFonts w:hint="eastAsia" w:ascii="Times New Roman" w:hAnsi="Times New Roman" w:cs="Times New Roman"/>
          <w:b/>
          <w:bCs/>
          <w:sz w:val="24"/>
          <w:lang w:val="en-US" w:eastAsia="zh-CN"/>
        </w:rPr>
        <w:t>配置</w:t>
      </w:r>
      <w:r>
        <w:rPr>
          <w:rFonts w:hint="default" w:ascii="Times New Roman" w:hAnsi="Times New Roman" w:cs="Times New Roman"/>
          <w:b/>
          <w:bCs/>
          <w:sz w:val="24"/>
        </w:rPr>
        <w:t>清单</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5221"/>
        <w:gridCol w:w="1434"/>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pPr>
              <w:widowControl w:val="0"/>
              <w:jc w:val="center"/>
              <w:rPr>
                <w:rFonts w:ascii="宋体" w:hAnsi="Times New Roman" w:eastAsia="宋体" w:cs="Times New Roman"/>
                <w:b/>
                <w:kern w:val="0"/>
                <w:sz w:val="24"/>
                <w:szCs w:val="24"/>
              </w:rPr>
            </w:pPr>
            <w:r>
              <w:rPr>
                <w:rFonts w:hint="eastAsia" w:ascii="宋体" w:hAnsi="宋体" w:eastAsia="宋体" w:cs="Times New Roman"/>
                <w:b/>
                <w:kern w:val="0"/>
                <w:sz w:val="24"/>
                <w:szCs w:val="24"/>
              </w:rPr>
              <w:t>序号</w:t>
            </w:r>
          </w:p>
        </w:tc>
        <w:tc>
          <w:tcPr>
            <w:tcW w:w="2699" w:type="pct"/>
          </w:tcPr>
          <w:p>
            <w:pPr>
              <w:widowControl w:val="0"/>
              <w:jc w:val="center"/>
              <w:rPr>
                <w:rFonts w:ascii="宋体" w:hAnsi="Times New Roman" w:eastAsia="宋体" w:cs="Times New Roman"/>
                <w:b/>
                <w:kern w:val="0"/>
                <w:sz w:val="24"/>
                <w:szCs w:val="24"/>
              </w:rPr>
            </w:pPr>
            <w:r>
              <w:rPr>
                <w:rFonts w:hint="eastAsia" w:ascii="宋体" w:hAnsi="宋体" w:eastAsia="宋体" w:cs="Times New Roman"/>
                <w:b/>
                <w:kern w:val="0"/>
                <w:sz w:val="24"/>
                <w:szCs w:val="24"/>
              </w:rPr>
              <w:t>主要组件内容</w:t>
            </w:r>
          </w:p>
        </w:tc>
        <w:tc>
          <w:tcPr>
            <w:tcW w:w="741" w:type="pct"/>
          </w:tcPr>
          <w:p>
            <w:pPr>
              <w:widowControl w:val="0"/>
              <w:jc w:val="center"/>
              <w:rPr>
                <w:rFonts w:hint="eastAsia" w:ascii="宋体" w:hAnsi="宋体" w:eastAsia="宋体" w:cs="Times New Roman"/>
                <w:b/>
                <w:kern w:val="0"/>
                <w:sz w:val="24"/>
                <w:szCs w:val="24"/>
                <w:lang w:eastAsia="zh-CN"/>
              </w:rPr>
            </w:pPr>
            <w:r>
              <w:rPr>
                <w:rFonts w:hint="eastAsia" w:ascii="宋体" w:hAnsi="宋体" w:eastAsia="宋体" w:cs="Times New Roman"/>
                <w:b/>
                <w:kern w:val="0"/>
                <w:sz w:val="24"/>
                <w:szCs w:val="24"/>
                <w:lang w:eastAsia="zh-CN"/>
              </w:rPr>
              <w:t>项目占比</w:t>
            </w:r>
          </w:p>
        </w:tc>
        <w:tc>
          <w:tcPr>
            <w:tcW w:w="1120" w:type="pct"/>
          </w:tcPr>
          <w:p>
            <w:pPr>
              <w:widowControl w:val="0"/>
              <w:jc w:val="center"/>
              <w:rPr>
                <w:rFonts w:hint="eastAsia" w:ascii="宋体" w:hAnsi="宋体" w:eastAsia="宋体" w:cs="Times New Roman"/>
                <w:b/>
                <w:kern w:val="0"/>
                <w:sz w:val="24"/>
                <w:szCs w:val="24"/>
                <w:lang w:eastAsia="zh-CN"/>
              </w:rPr>
            </w:pPr>
            <w:r>
              <w:rPr>
                <w:rFonts w:hint="eastAsia" w:ascii="宋体" w:hAnsi="宋体" w:eastAsia="宋体" w:cs="Times New Roman"/>
                <w:b/>
                <w:kern w:val="0"/>
                <w:sz w:val="24"/>
                <w:szCs w:val="24"/>
                <w:lang w:eastAsia="zh-CN"/>
              </w:rPr>
              <w:t>限价（元</w:t>
            </w:r>
            <w:r>
              <w:rPr>
                <w:rFonts w:hint="eastAsia" w:ascii="宋体" w:hAnsi="宋体" w:eastAsia="宋体" w:cs="Times New Roman"/>
                <w:b/>
                <w:kern w:val="0"/>
                <w:sz w:val="24"/>
                <w:szCs w:val="24"/>
                <w:lang w:val="en-US" w:eastAsia="zh-CN"/>
              </w:rPr>
              <w:t>/套</w:t>
            </w:r>
            <w:r>
              <w:rPr>
                <w:rFonts w:hint="eastAsia" w:ascii="宋体" w:hAnsi="宋体" w:eastAsia="宋体" w:cs="Times New Roman"/>
                <w:b/>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pPr>
              <w:widowControl w:val="0"/>
              <w:jc w:val="center"/>
              <w:rPr>
                <w:rFonts w:ascii="宋体" w:hAnsi="Times New Roman" w:eastAsia="宋体" w:cs="Times New Roman"/>
                <w:kern w:val="0"/>
                <w:sz w:val="24"/>
                <w:szCs w:val="24"/>
              </w:rPr>
            </w:pPr>
            <w:r>
              <w:rPr>
                <w:rFonts w:ascii="宋体" w:hAnsi="宋体" w:eastAsia="宋体" w:cs="Times New Roman"/>
                <w:kern w:val="0"/>
                <w:sz w:val="24"/>
                <w:szCs w:val="24"/>
              </w:rPr>
              <w:t>1</w:t>
            </w:r>
          </w:p>
        </w:tc>
        <w:tc>
          <w:tcPr>
            <w:tcW w:w="2699" w:type="pct"/>
            <w:vAlign w:val="center"/>
          </w:tcPr>
          <w:p>
            <w:pPr>
              <w:widowControl w:val="0"/>
              <w:jc w:val="center"/>
              <w:rPr>
                <w:rFonts w:hint="eastAsia" w:ascii="宋体" w:hAnsi="Times New Roman" w:eastAsia="宋体" w:cs="宋体"/>
                <w:kern w:val="0"/>
                <w:sz w:val="24"/>
                <w:szCs w:val="24"/>
              </w:rPr>
            </w:pPr>
            <w:r>
              <w:rPr>
                <w:rFonts w:hint="eastAsia" w:ascii="Times New Roman" w:hAnsi="Times New Roman" w:eastAsia="宋体" w:cs="Times New Roman"/>
                <w:kern w:val="2"/>
                <w:sz w:val="24"/>
                <w:szCs w:val="24"/>
                <w:lang w:val="en-US" w:eastAsia="zh-CN"/>
              </w:rPr>
              <w:t>一次性使用高压注射器及附件（单筒）</w:t>
            </w:r>
          </w:p>
        </w:tc>
        <w:tc>
          <w:tcPr>
            <w:tcW w:w="741" w:type="pct"/>
            <w:vAlign w:val="center"/>
          </w:tcPr>
          <w:p>
            <w:pPr>
              <w:widowControl w:val="0"/>
              <w:jc w:val="center"/>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50%</w:t>
            </w:r>
          </w:p>
        </w:tc>
        <w:tc>
          <w:tcPr>
            <w:tcW w:w="1120" w:type="pct"/>
            <w:vAlign w:val="center"/>
          </w:tcPr>
          <w:p>
            <w:pPr>
              <w:widowControl w:val="0"/>
              <w:jc w:val="center"/>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Pr>
          <w:p>
            <w:pPr>
              <w:widowControl w:val="0"/>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w:t>
            </w:r>
          </w:p>
        </w:tc>
        <w:tc>
          <w:tcPr>
            <w:tcW w:w="2699" w:type="pct"/>
            <w:vAlign w:val="center"/>
          </w:tcPr>
          <w:p>
            <w:pPr>
              <w:widowControl w:val="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val="en-US" w:eastAsia="zh-CN"/>
              </w:rPr>
              <w:t>一次性使用高压注射器及附件（双筒）</w:t>
            </w:r>
          </w:p>
        </w:tc>
        <w:tc>
          <w:tcPr>
            <w:tcW w:w="741" w:type="pct"/>
            <w:vAlign w:val="center"/>
          </w:tcPr>
          <w:p>
            <w:pPr>
              <w:widowControl w:val="0"/>
              <w:jc w:val="center"/>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50%</w:t>
            </w:r>
          </w:p>
        </w:tc>
        <w:tc>
          <w:tcPr>
            <w:tcW w:w="1120" w:type="pct"/>
            <w:vAlign w:val="center"/>
          </w:tcPr>
          <w:p>
            <w:pPr>
              <w:widowControl w:val="0"/>
              <w:jc w:val="center"/>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110</w:t>
            </w:r>
          </w:p>
        </w:tc>
      </w:tr>
    </w:tbl>
    <w:p>
      <w:pPr>
        <w:widowControl w:val="0"/>
        <w:tabs>
          <w:tab w:val="left" w:pos="360"/>
        </w:tabs>
        <w:spacing w:line="360" w:lineRule="auto"/>
        <w:outlineLvl w:val="1"/>
        <w:rPr>
          <w:rFonts w:hint="eastAsia" w:ascii="Times New Roman" w:hAnsi="Times New Roman" w:cs="Times New Roman"/>
          <w:b/>
          <w:bCs/>
          <w:sz w:val="24"/>
          <w:highlight w:val="none"/>
          <w:lang w:val="en-US" w:eastAsia="zh-CN"/>
        </w:rPr>
      </w:pPr>
      <w:r>
        <w:rPr>
          <w:rFonts w:hint="eastAsia" w:ascii="Times New Roman" w:hAnsi="Times New Roman" w:cs="Times New Roman"/>
          <w:b/>
          <w:bCs/>
          <w:sz w:val="24"/>
          <w:highlight w:val="none"/>
          <w:lang w:val="en-US" w:eastAsia="zh-CN"/>
        </w:rPr>
        <w:t>七、投标样品要求</w:t>
      </w:r>
    </w:p>
    <w:p>
      <w:pPr>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1、样品应独立包装并密封，并在包装外及产品上标明投标单位名称等相关信息，未提供或提供不全者将在评分中扣除相应得分。</w:t>
      </w:r>
    </w:p>
    <w:p>
      <w:pPr>
        <w:numPr>
          <w:ilvl w:val="0"/>
          <w:numId w:val="0"/>
        </w:numPr>
        <w:spacing w:line="360" w:lineRule="auto"/>
        <w:rPr>
          <w:rFonts w:hint="default"/>
          <w:highlight w:val="none"/>
          <w:lang w:val="en-US" w:eastAsia="zh-CN"/>
        </w:rPr>
      </w:pPr>
      <w:r>
        <w:rPr>
          <w:rFonts w:hint="eastAsia" w:ascii="宋体" w:hAnsi="宋体" w:cs="宋体"/>
          <w:color w:val="auto"/>
          <w:sz w:val="24"/>
          <w:szCs w:val="24"/>
          <w:highlight w:val="none"/>
          <w:lang w:val="en-US" w:eastAsia="zh-CN"/>
        </w:rPr>
        <w:t>2、采购人视情况将对</w:t>
      </w:r>
      <w:r>
        <w:rPr>
          <w:rFonts w:hint="eastAsia"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供应商的样品进行封存，作为货物验收的依据。未</w:t>
      </w:r>
      <w:r>
        <w:rPr>
          <w:rFonts w:hint="eastAsia"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的样品将会在发布</w:t>
      </w:r>
      <w:r>
        <w:rPr>
          <w:rFonts w:hint="eastAsia"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公告后 5 个工作日内通知退还，如接退还通知后投标供应商7天内不领取视为放弃样品，由</w:t>
      </w:r>
      <w:r>
        <w:rPr>
          <w:rFonts w:hint="eastAsia" w:cs="宋体"/>
          <w:color w:val="auto"/>
          <w:sz w:val="24"/>
          <w:szCs w:val="24"/>
          <w:highlight w:val="none"/>
          <w:lang w:val="en-US" w:eastAsia="zh-CN"/>
        </w:rPr>
        <w:t>我院</w:t>
      </w:r>
      <w:r>
        <w:rPr>
          <w:rFonts w:hint="eastAsia" w:ascii="宋体" w:hAnsi="宋体" w:cs="宋体"/>
          <w:color w:val="auto"/>
          <w:sz w:val="24"/>
          <w:szCs w:val="24"/>
          <w:highlight w:val="none"/>
          <w:lang w:val="en-US" w:eastAsia="zh-CN"/>
        </w:rPr>
        <w:t>自行处理。</w:t>
      </w:r>
    </w:p>
    <w:p>
      <w:pPr>
        <w:widowControl w:val="0"/>
        <w:tabs>
          <w:tab w:val="left" w:pos="360"/>
        </w:tabs>
        <w:spacing w:line="360" w:lineRule="auto"/>
        <w:outlineLvl w:val="1"/>
        <w:rPr>
          <w:rFonts w:hint="default" w:ascii="Times New Roman" w:hAnsi="Times New Roman" w:cs="Times New Roman"/>
          <w:b/>
          <w:bCs/>
          <w:sz w:val="24"/>
        </w:rPr>
      </w:pPr>
      <w:r>
        <w:rPr>
          <w:rFonts w:hint="eastAsia" w:ascii="Times New Roman" w:hAnsi="Times New Roman" w:cs="Times New Roman"/>
          <w:b/>
          <w:bCs/>
          <w:sz w:val="24"/>
          <w:lang w:val="en-US" w:eastAsia="zh-CN"/>
        </w:rPr>
        <w:t>八、</w:t>
      </w:r>
      <w:r>
        <w:rPr>
          <w:rFonts w:hint="default" w:ascii="Times New Roman" w:hAnsi="Times New Roman" w:cs="Times New Roman"/>
          <w:b/>
          <w:bCs/>
          <w:sz w:val="24"/>
        </w:rPr>
        <w:t>商务条款：</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★1、应标供应商须承诺对在用高压注射器进行维保（所有相关费用均已包含在耗材报价中）；</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2、同一单项的所有规格型号产品的价格须一致；</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3、保证产品全新、未曾使用过、其质量、规格及技术特征符合国家有关法律规定；</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4、可根据科室具体使用需求调整配置。</w:t>
      </w:r>
    </w:p>
    <w:p>
      <w:pPr>
        <w:pStyle w:val="2"/>
        <w:rPr>
          <w:rFonts w:hint="default"/>
          <w:lang w:val="en-US" w:eastAsia="zh-CN"/>
        </w:rPr>
      </w:pP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46308683"/>
      <w:bookmarkStart w:id="47" w:name="_Toc98579609"/>
      <w:bookmarkStart w:id="48" w:name="_Toc37663391"/>
      <w:bookmarkStart w:id="49" w:name="_Toc40762370"/>
      <w:bookmarkStart w:id="50" w:name="_Toc37581420"/>
      <w:bookmarkStart w:id="51" w:name="_Toc37331038"/>
      <w:bookmarkStart w:id="52" w:name="_Toc37569519"/>
      <w:bookmarkStart w:id="53" w:name="_Toc272497412"/>
      <w:bookmarkStart w:id="54" w:name="_Toc98035088"/>
      <w:bookmarkStart w:id="55" w:name="_Toc37331080"/>
      <w:bookmarkStart w:id="56" w:name="_Toc101771371"/>
      <w:bookmarkStart w:id="57" w:name="_Toc46308527"/>
      <w:bookmarkStart w:id="58" w:name="_Toc175644388"/>
      <w:bookmarkStart w:id="59" w:name="_Toc98580292"/>
      <w:bookmarkStart w:id="60" w:name="_Toc101843124"/>
      <w:bookmarkStart w:id="61" w:name="_Toc101775124"/>
      <w:bookmarkStart w:id="62" w:name="_Toc273520767"/>
      <w:bookmarkStart w:id="63" w:name="_Toc37245276"/>
      <w:bookmarkStart w:id="64" w:name="_Toc98579010"/>
      <w:bookmarkStart w:id="65" w:name="_Toc101951257"/>
      <w:bookmarkStart w:id="66" w:name="_Toc98579068"/>
      <w:bookmarkStart w:id="67" w:name="_Toc50276156"/>
      <w:bookmarkStart w:id="68" w:name="_Toc50276195"/>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01771359"/>
      <w:bookmarkStart w:id="73" w:name="_Toc101775112"/>
      <w:bookmarkStart w:id="74" w:name="_Toc101843112"/>
      <w:bookmarkStart w:id="75" w:name="_Toc98579053"/>
      <w:bookmarkStart w:id="76" w:name="_Toc98578995"/>
      <w:bookmarkStart w:id="77" w:name="_Toc42394657"/>
      <w:bookmarkStart w:id="78" w:name="_Toc134956119"/>
      <w:bookmarkStart w:id="79" w:name="_Toc42313155"/>
      <w:bookmarkStart w:id="80" w:name="_Toc98579594"/>
      <w:bookmarkStart w:id="81" w:name="_Toc42394500"/>
      <w:bookmarkStart w:id="82" w:name="_Toc41723917"/>
      <w:bookmarkStart w:id="83" w:name="_Toc50276141"/>
      <w:bookmarkStart w:id="84" w:name="_Toc98580277"/>
      <w:bookmarkStart w:id="85" w:name="_Toc101951245"/>
      <w:bookmarkStart w:id="86" w:name="_Toc41884687"/>
      <w:bookmarkStart w:id="87" w:name="_Toc98580279"/>
      <w:bookmarkStart w:id="88" w:name="_Toc101843113"/>
      <w:bookmarkStart w:id="89" w:name="_Toc101775113"/>
      <w:bookmarkStart w:id="90" w:name="_Toc98579596"/>
      <w:bookmarkStart w:id="91" w:name="_Toc134956120"/>
      <w:bookmarkStart w:id="92" w:name="_Toc98579055"/>
      <w:bookmarkStart w:id="93" w:name="_Toc101771360"/>
      <w:bookmarkStart w:id="94" w:name="_Toc50276143"/>
      <w:bookmarkStart w:id="95" w:name="_Toc101951246"/>
      <w:bookmarkStart w:id="96" w:name="_Toc42394659"/>
      <w:bookmarkStart w:id="97" w:name="_Toc42394502"/>
      <w:bookmarkStart w:id="98" w:name="_Toc42313157"/>
      <w:bookmarkStart w:id="99" w:name="_Toc9857899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94658"/>
      <w:bookmarkStart w:id="101" w:name="_Toc41884688"/>
      <w:bookmarkStart w:id="102" w:name="_Toc41723918"/>
      <w:bookmarkStart w:id="103" w:name="_Toc101771361"/>
      <w:bookmarkStart w:id="104" w:name="_Toc98578996"/>
      <w:bookmarkStart w:id="105" w:name="_Toc101843114"/>
      <w:bookmarkStart w:id="106" w:name="_Toc134956122"/>
      <w:bookmarkStart w:id="107" w:name="_Toc42394501"/>
      <w:bookmarkStart w:id="108" w:name="_Toc101951247"/>
      <w:bookmarkStart w:id="109" w:name="_Toc50276142"/>
      <w:bookmarkStart w:id="110" w:name="_Toc98579595"/>
      <w:bookmarkStart w:id="111" w:name="_Toc98580278"/>
      <w:bookmarkStart w:id="112" w:name="_Toc98579054"/>
      <w:bookmarkStart w:id="113" w:name="_Toc101775114"/>
      <w:bookmarkStart w:id="114" w:name="_Toc42313156"/>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101771362"/>
      <w:bookmarkStart w:id="117" w:name="_Toc272497410"/>
      <w:bookmarkStart w:id="118" w:name="_Toc101843115"/>
      <w:bookmarkStart w:id="119" w:name="_Toc101775115"/>
      <w:bookmarkStart w:id="120" w:name="_Toc101951248"/>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79598"/>
      <w:bookmarkStart w:id="123" w:name="_Toc42394661"/>
      <w:bookmarkStart w:id="124" w:name="_Toc42313159"/>
      <w:bookmarkStart w:id="125" w:name="_Toc46308681"/>
      <w:bookmarkStart w:id="126" w:name="_Toc46308525"/>
      <w:bookmarkStart w:id="127" w:name="_Toc98578999"/>
      <w:bookmarkStart w:id="128" w:name="_Toc41884693"/>
      <w:bookmarkStart w:id="129" w:name="_Toc98579057"/>
      <w:bookmarkStart w:id="130" w:name="_Toc98035086"/>
      <w:bookmarkStart w:id="131" w:name="_Toc101771363"/>
      <w:bookmarkStart w:id="132" w:name="_Toc272497411"/>
      <w:bookmarkStart w:id="133" w:name="_Toc101951249"/>
      <w:bookmarkStart w:id="134" w:name="_Toc41723923"/>
      <w:bookmarkStart w:id="135" w:name="_Toc101775116"/>
      <w:bookmarkStart w:id="136" w:name="_Toc42394504"/>
      <w:bookmarkStart w:id="137" w:name="_Toc50276145"/>
      <w:bookmarkStart w:id="138" w:name="_Toc98580281"/>
      <w:bookmarkStart w:id="139" w:name="_Toc175644387"/>
      <w:bookmarkStart w:id="140" w:name="_Toc101843116"/>
      <w:bookmarkStart w:id="141" w:name="_Toc50276193"/>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001"/>
      <w:bookmarkStart w:id="143" w:name="_Toc98580283"/>
      <w:bookmarkStart w:id="144" w:name="_Toc134956127"/>
      <w:bookmarkStart w:id="145" w:name="_Toc41884695"/>
      <w:bookmarkStart w:id="146" w:name="_Toc42394506"/>
      <w:bookmarkStart w:id="147" w:name="_Toc98579600"/>
      <w:bookmarkStart w:id="148" w:name="_Toc101775118"/>
      <w:bookmarkStart w:id="149" w:name="_Toc41723925"/>
      <w:bookmarkStart w:id="150" w:name="_Toc98579059"/>
      <w:bookmarkStart w:id="151" w:name="_Toc101771365"/>
      <w:bookmarkStart w:id="152" w:name="_Toc42313161"/>
      <w:bookmarkStart w:id="153" w:name="_Toc101951251"/>
      <w:bookmarkStart w:id="154" w:name="_Toc42394663"/>
      <w:bookmarkStart w:id="155" w:name="_Toc101843118"/>
      <w:bookmarkStart w:id="156" w:name="_Toc50276147"/>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01843119"/>
      <w:bookmarkStart w:id="159" w:name="_Toc101775119"/>
      <w:bookmarkStart w:id="160" w:name="_Toc134956128"/>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01775121"/>
      <w:bookmarkStart w:id="166" w:name="_Toc101843121"/>
      <w:bookmarkStart w:id="167" w:name="_Toc134956130"/>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1884698"/>
      <w:bookmarkStart w:id="171" w:name="_Toc42394666"/>
      <w:bookmarkStart w:id="172" w:name="_Toc101843123"/>
      <w:bookmarkStart w:id="173" w:name="_Toc42394509"/>
      <w:bookmarkStart w:id="174" w:name="_Toc134956132"/>
      <w:bookmarkStart w:id="175" w:name="_Toc98579004"/>
      <w:bookmarkStart w:id="176" w:name="_Toc101771370"/>
      <w:bookmarkStart w:id="177" w:name="_Toc98580286"/>
      <w:bookmarkStart w:id="178" w:name="_Toc41723928"/>
      <w:bookmarkStart w:id="179" w:name="_Toc98579062"/>
      <w:bookmarkStart w:id="180" w:name="_Toc101951256"/>
      <w:bookmarkStart w:id="181" w:name="_Toc42313164"/>
      <w:bookmarkStart w:id="182" w:name="_Toc50276150"/>
      <w:bookmarkStart w:id="183" w:name="_Toc101775123"/>
      <w:bookmarkStart w:id="184" w:name="_Toc98579603"/>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1884706"/>
      <w:bookmarkStart w:id="187" w:name="_Toc50276165"/>
      <w:bookmarkStart w:id="188" w:name="_Toc42313172"/>
      <w:bookmarkStart w:id="189" w:name="_Toc98579011"/>
      <w:bookmarkStart w:id="190" w:name="_Toc46308531"/>
      <w:bookmarkStart w:id="191" w:name="_Toc50276204"/>
      <w:bookmarkStart w:id="192" w:name="_Toc273520768"/>
      <w:bookmarkStart w:id="193" w:name="_Toc272497418"/>
      <w:bookmarkStart w:id="194" w:name="_Toc42394517"/>
      <w:bookmarkStart w:id="195" w:name="_Toc98035089"/>
      <w:bookmarkStart w:id="196" w:name="_Toc41723936"/>
      <w:bookmarkStart w:id="197" w:name="_Toc101771372"/>
      <w:bookmarkStart w:id="198" w:name="_Toc98579069"/>
      <w:bookmarkStart w:id="199" w:name="_Toc101775125"/>
      <w:bookmarkStart w:id="200" w:name="_Toc101951263"/>
      <w:bookmarkStart w:id="201" w:name="_Toc101843125"/>
      <w:bookmarkStart w:id="202" w:name="_Toc175644394"/>
      <w:bookmarkStart w:id="203" w:name="_Toc46308687"/>
      <w:bookmarkStart w:id="204" w:name="_Toc98580293"/>
      <w:bookmarkStart w:id="205" w:name="_Toc42394673"/>
      <w:bookmarkStart w:id="206" w:name="_Toc98579610"/>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50276166"/>
      <w:bookmarkStart w:id="210" w:name="_Toc273520769"/>
      <w:bookmarkStart w:id="211" w:name="_Toc41723937"/>
      <w:bookmarkStart w:id="212" w:name="_Toc98579070"/>
      <w:bookmarkStart w:id="213" w:name="_Toc101771373"/>
      <w:bookmarkStart w:id="214" w:name="_Toc46308532"/>
      <w:bookmarkStart w:id="215" w:name="_Toc98035087"/>
      <w:bookmarkStart w:id="216" w:name="_Toc46308688"/>
      <w:bookmarkStart w:id="217" w:name="_Toc98580294"/>
      <w:bookmarkStart w:id="218" w:name="_Toc98579063"/>
      <w:bookmarkStart w:id="219" w:name="_Toc98580287"/>
      <w:bookmarkStart w:id="220" w:name="_Toc50276151"/>
      <w:bookmarkStart w:id="221" w:name="_Toc98579005"/>
      <w:bookmarkStart w:id="222" w:name="_Toc41723930"/>
      <w:bookmarkStart w:id="223" w:name="_Toc42313173"/>
      <w:bookmarkStart w:id="224" w:name="_Toc98579611"/>
      <w:bookmarkStart w:id="225" w:name="_Toc175644395"/>
      <w:bookmarkStart w:id="226" w:name="_Toc98035090"/>
      <w:bookmarkStart w:id="227" w:name="_Toc41884700"/>
      <w:bookmarkStart w:id="228" w:name="_Toc42394511"/>
      <w:bookmarkStart w:id="229" w:name="_Toc42394518"/>
      <w:bookmarkStart w:id="230" w:name="_Toc46308682"/>
      <w:bookmarkStart w:id="231" w:name="_Toc98579012"/>
      <w:bookmarkStart w:id="232" w:name="_Toc272497419"/>
      <w:bookmarkStart w:id="233" w:name="_Toc98579604"/>
      <w:bookmarkStart w:id="234" w:name="_Toc41884707"/>
      <w:bookmarkStart w:id="235" w:name="_Toc101951264"/>
      <w:bookmarkStart w:id="236" w:name="_Toc50276194"/>
      <w:bookmarkStart w:id="237" w:name="_Toc42313166"/>
      <w:bookmarkStart w:id="238" w:name="_Toc50276205"/>
      <w:bookmarkStart w:id="239" w:name="_Toc46308526"/>
      <w:bookmarkStart w:id="240" w:name="_Toc101775126"/>
      <w:bookmarkStart w:id="241" w:name="_Toc101843126"/>
      <w:bookmarkStart w:id="242" w:name="_Toc42394674"/>
      <w:bookmarkStart w:id="243" w:name="_Toc42394667"/>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30</w:t>
            </w:r>
            <w:r>
              <w:rPr>
                <w:rFonts w:hint="default" w:ascii="Times New Roman" w:hAnsi="Times New Roman" w:cs="Times New Roman"/>
                <w:szCs w:val="21"/>
                <w:highlight w:val="none"/>
              </w:rPr>
              <w:t>分</w:t>
            </w:r>
          </w:p>
        </w:tc>
        <w:tc>
          <w:tcPr>
            <w:tcW w:w="6092" w:type="dxa"/>
            <w:vAlign w:val="center"/>
          </w:tcPr>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根据供应商的根据投标文件及投标样品情况进行综合评价：</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样品质量优，总体</w:t>
            </w:r>
            <w:r>
              <w:rPr>
                <w:rFonts w:hint="default" w:ascii="Times New Roman" w:hAnsi="Times New Roman" w:cs="Times New Roman"/>
                <w:highlight w:val="none"/>
              </w:rPr>
              <w:t>明显优于同类产品，得</w:t>
            </w:r>
            <w:r>
              <w:rPr>
                <w:rFonts w:hint="default" w:ascii="Times New Roman" w:hAnsi="Times New Roman" w:cs="Times New Roman"/>
                <w:highlight w:val="none"/>
                <w:lang w:val="en-US" w:eastAsia="zh-CN"/>
              </w:rPr>
              <w:t>30</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样品质量较好，</w:t>
            </w:r>
            <w:r>
              <w:rPr>
                <w:rFonts w:hint="default" w:ascii="Times New Roman" w:hAnsi="Times New Roman" w:cs="Times New Roman"/>
                <w:highlight w:val="none"/>
              </w:rPr>
              <w:t>得</w:t>
            </w:r>
            <w:r>
              <w:rPr>
                <w:rFonts w:hint="default" w:ascii="Times New Roman" w:hAnsi="Times New Roman" w:cs="Times New Roman"/>
                <w:highlight w:val="none"/>
                <w:lang w:val="en-US" w:eastAsia="zh-CN"/>
              </w:rPr>
              <w:t>20</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样品质量较一般，</w:t>
            </w:r>
            <w:r>
              <w:rPr>
                <w:rFonts w:hint="default" w:ascii="Times New Roman" w:hAnsi="Times New Roman" w:cs="Times New Roman"/>
                <w:highlight w:val="none"/>
              </w:rPr>
              <w:t>得</w:t>
            </w:r>
            <w:r>
              <w:rPr>
                <w:rFonts w:hint="default" w:ascii="Times New Roman" w:hAnsi="Times New Roman" w:cs="Times New Roman"/>
                <w:highlight w:val="none"/>
                <w:lang w:val="en-US" w:eastAsia="zh-CN"/>
              </w:rPr>
              <w:t>10</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样品质量差，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default" w:eastAsia="宋体"/>
                <w:highlight w:val="none"/>
                <w:lang w:val="en-US" w:eastAsia="zh-CN"/>
              </w:rPr>
            </w:pPr>
            <w:r>
              <w:rPr>
                <w:rFonts w:hint="default" w:ascii="Times New Roman" w:hAnsi="Times New Roman" w:cs="Times New Roman"/>
                <w:highlight w:val="none"/>
                <w:lang w:val="en-US" w:eastAsia="zh-CN"/>
              </w:rPr>
              <w:t>未提供样品或样品提供不全</w:t>
            </w:r>
            <w:r>
              <w:rPr>
                <w:rFonts w:hint="eastAsia" w:ascii="Times New Roman" w:hAnsi="Times New Roman" w:cs="Times New Roman"/>
                <w:highlight w:val="none"/>
                <w:lang w:val="en-US" w:eastAsia="zh-CN"/>
              </w:rPr>
              <w:t>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9</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88816844"/>
      <w:bookmarkStart w:id="250" w:name="_Toc184350415"/>
      <w:bookmarkStart w:id="251" w:name="_Toc170638928"/>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22999731"/>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170638931"/>
      <w:bookmarkStart w:id="259" w:name="_Toc222999736"/>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22999739"/>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88816853"/>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269301026"/>
      <w:bookmarkStart w:id="269" w:name="_Toc261269415"/>
      <w:bookmarkStart w:id="270" w:name="_Toc195675482"/>
      <w:bookmarkStart w:id="271" w:name="_Toc198976406"/>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25C9F"/>
    <w:rsid w:val="047F7F93"/>
    <w:rsid w:val="04912B7A"/>
    <w:rsid w:val="04DB027D"/>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9D268D"/>
    <w:rsid w:val="08A67E1D"/>
    <w:rsid w:val="08DD4014"/>
    <w:rsid w:val="08E174F2"/>
    <w:rsid w:val="08E24649"/>
    <w:rsid w:val="08E77572"/>
    <w:rsid w:val="09044B9E"/>
    <w:rsid w:val="092116D5"/>
    <w:rsid w:val="093F0D77"/>
    <w:rsid w:val="094D11D8"/>
    <w:rsid w:val="09567C43"/>
    <w:rsid w:val="095E3F41"/>
    <w:rsid w:val="096C1EBE"/>
    <w:rsid w:val="099F531B"/>
    <w:rsid w:val="09A11A04"/>
    <w:rsid w:val="09AA6E7E"/>
    <w:rsid w:val="09AD7CF5"/>
    <w:rsid w:val="09B038CF"/>
    <w:rsid w:val="09BB7B58"/>
    <w:rsid w:val="09D42C57"/>
    <w:rsid w:val="09D77353"/>
    <w:rsid w:val="09F66BCF"/>
    <w:rsid w:val="09F73CC2"/>
    <w:rsid w:val="09FC1C7B"/>
    <w:rsid w:val="09FF76A4"/>
    <w:rsid w:val="0A154603"/>
    <w:rsid w:val="0A3C237F"/>
    <w:rsid w:val="0A3F640F"/>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EE72827"/>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F2313C"/>
    <w:rsid w:val="11152D62"/>
    <w:rsid w:val="11473D2B"/>
    <w:rsid w:val="114D3157"/>
    <w:rsid w:val="116C3C10"/>
    <w:rsid w:val="11914C92"/>
    <w:rsid w:val="11B1116A"/>
    <w:rsid w:val="11BC790D"/>
    <w:rsid w:val="11CD7C8E"/>
    <w:rsid w:val="11F9554D"/>
    <w:rsid w:val="12112984"/>
    <w:rsid w:val="12174C74"/>
    <w:rsid w:val="1218482D"/>
    <w:rsid w:val="12281056"/>
    <w:rsid w:val="12417063"/>
    <w:rsid w:val="126112C5"/>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5B5CC8"/>
    <w:rsid w:val="16617A7A"/>
    <w:rsid w:val="166502D7"/>
    <w:rsid w:val="16656400"/>
    <w:rsid w:val="16777D74"/>
    <w:rsid w:val="16783BF5"/>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CF20A7A"/>
    <w:rsid w:val="1D0230E6"/>
    <w:rsid w:val="1D1C585C"/>
    <w:rsid w:val="1D2456EF"/>
    <w:rsid w:val="1D2F058A"/>
    <w:rsid w:val="1D553CA9"/>
    <w:rsid w:val="1D58026D"/>
    <w:rsid w:val="1D6A426C"/>
    <w:rsid w:val="1D6C20B3"/>
    <w:rsid w:val="1D715F99"/>
    <w:rsid w:val="1D7422F7"/>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96CFD"/>
    <w:rsid w:val="2C0B1110"/>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E10AC"/>
    <w:rsid w:val="3598068C"/>
    <w:rsid w:val="35C11EB8"/>
    <w:rsid w:val="35C33049"/>
    <w:rsid w:val="35C47D09"/>
    <w:rsid w:val="35CC5E55"/>
    <w:rsid w:val="35EA7654"/>
    <w:rsid w:val="36174C78"/>
    <w:rsid w:val="36277E12"/>
    <w:rsid w:val="36313CBD"/>
    <w:rsid w:val="363C6AD8"/>
    <w:rsid w:val="363F4665"/>
    <w:rsid w:val="364A03CB"/>
    <w:rsid w:val="36637EBD"/>
    <w:rsid w:val="367869AD"/>
    <w:rsid w:val="368B6DA9"/>
    <w:rsid w:val="36C73422"/>
    <w:rsid w:val="36E5716E"/>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80204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53E61"/>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49082A"/>
    <w:rsid w:val="405938AD"/>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2212F8E"/>
    <w:rsid w:val="423B4AFE"/>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44A10"/>
    <w:rsid w:val="4B0B3BEF"/>
    <w:rsid w:val="4B143D78"/>
    <w:rsid w:val="4B266D89"/>
    <w:rsid w:val="4B383656"/>
    <w:rsid w:val="4B396378"/>
    <w:rsid w:val="4B434D9D"/>
    <w:rsid w:val="4B451300"/>
    <w:rsid w:val="4B682903"/>
    <w:rsid w:val="4B781AB0"/>
    <w:rsid w:val="4B954A5D"/>
    <w:rsid w:val="4BC845F8"/>
    <w:rsid w:val="4BDD3213"/>
    <w:rsid w:val="4BDE1FDE"/>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23E4D"/>
    <w:rsid w:val="556456C9"/>
    <w:rsid w:val="556F4A72"/>
    <w:rsid w:val="557A0DC6"/>
    <w:rsid w:val="559765F2"/>
    <w:rsid w:val="55A958F0"/>
    <w:rsid w:val="55AD668B"/>
    <w:rsid w:val="55D03A48"/>
    <w:rsid w:val="55D45383"/>
    <w:rsid w:val="55E85277"/>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3F6E07"/>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77633"/>
    <w:rsid w:val="61796113"/>
    <w:rsid w:val="619A46DA"/>
    <w:rsid w:val="619D21BD"/>
    <w:rsid w:val="61B56FAF"/>
    <w:rsid w:val="61EE1D8C"/>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A66DCA"/>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3E2CA8"/>
    <w:rsid w:val="68A61E00"/>
    <w:rsid w:val="68C23C3C"/>
    <w:rsid w:val="68DF39AC"/>
    <w:rsid w:val="68DF4D2C"/>
    <w:rsid w:val="69205643"/>
    <w:rsid w:val="69335374"/>
    <w:rsid w:val="695151A5"/>
    <w:rsid w:val="69535E08"/>
    <w:rsid w:val="696B6E7D"/>
    <w:rsid w:val="697E5367"/>
    <w:rsid w:val="69845667"/>
    <w:rsid w:val="699927B1"/>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3339B7"/>
    <w:rsid w:val="6D441C96"/>
    <w:rsid w:val="6D48591E"/>
    <w:rsid w:val="6D7E52C4"/>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6266A"/>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5219A8"/>
    <w:rsid w:val="737E683C"/>
    <w:rsid w:val="737F30F8"/>
    <w:rsid w:val="739B1EE4"/>
    <w:rsid w:val="739D659A"/>
    <w:rsid w:val="739F35C3"/>
    <w:rsid w:val="73AC5041"/>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20D3E"/>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4</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2023-03-17T02:59:22Z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