
<file path=[Content_Types].xml><?xml version="1.0" encoding="utf-8"?>
<Types xmlns="http://schemas.openxmlformats.org/package/2006/content-types">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rPr>
          <w:rFonts w:ascii="宋体" w:hAnsi="宋体" w:eastAsia="宋体" w:cs="宋体"/>
          <w:b/>
          <w:bCs/>
          <w:sz w:val="32"/>
          <w:szCs w:val="32"/>
        </w:rPr>
      </w:pPr>
      <w:r>
        <w:rPr>
          <w:rFonts w:hint="eastAsia" w:ascii="宋体" w:hAnsi="宋体" w:eastAsia="宋体" w:cs="宋体"/>
          <w:b/>
          <w:bCs/>
          <w:sz w:val="32"/>
          <w:szCs w:val="32"/>
        </w:rPr>
        <w:t>产前超声动态影像质控及辅助系统用户需求书</w:t>
      </w:r>
    </w:p>
    <w:p>
      <w:pPr>
        <w:pStyle w:val="3"/>
        <w:numPr>
          <w:ilvl w:val="0"/>
          <w:numId w:val="0"/>
        </w:numPr>
        <w:rPr>
          <w:sz w:val="28"/>
          <w:szCs w:val="18"/>
        </w:rPr>
      </w:pPr>
      <w:r>
        <w:rPr>
          <w:rFonts w:hint="eastAsia"/>
          <w:sz w:val="28"/>
          <w:szCs w:val="18"/>
        </w:rPr>
        <w:t>1.建设背景</w:t>
      </w:r>
    </w:p>
    <w:p>
      <w:pPr>
        <w:spacing w:line="360" w:lineRule="auto"/>
        <w:ind w:firstLine="420" w:firstLineChars="200"/>
        <w:jc w:val="left"/>
      </w:pPr>
      <w:r>
        <w:rPr>
          <w:rFonts w:hint="eastAsia"/>
        </w:rPr>
        <w:t>国家在产前筛查及质控方面投入了大量的人力和物力，也需要新的技术能够提高产前超声从业人员的筛查水平，提供量化考核的质量控制系统。</w:t>
      </w:r>
    </w:p>
    <w:p>
      <w:pPr>
        <w:pStyle w:val="2"/>
        <w:ind w:firstLine="0" w:firstLineChars="0"/>
        <w:rPr>
          <w:rFonts w:ascii="宋体" w:hAnsi="宋体" w:eastAsia="宋体" w:cs="宋体"/>
          <w:sz w:val="24"/>
        </w:rPr>
      </w:pPr>
    </w:p>
    <w:p>
      <w:pPr>
        <w:pStyle w:val="3"/>
        <w:numPr>
          <w:ilvl w:val="0"/>
          <w:numId w:val="0"/>
        </w:numPr>
        <w:rPr>
          <w:sz w:val="28"/>
          <w:szCs w:val="18"/>
        </w:rPr>
      </w:pPr>
      <w:r>
        <w:rPr>
          <w:rFonts w:hint="eastAsia"/>
          <w:sz w:val="28"/>
          <w:szCs w:val="18"/>
        </w:rPr>
        <w:t>2.建设目标</w:t>
      </w:r>
    </w:p>
    <w:p>
      <w:pPr>
        <w:spacing w:before="174" w:line="364" w:lineRule="auto"/>
        <w:ind w:left="116" w:firstLine="488"/>
      </w:pPr>
      <w:r>
        <w:rPr>
          <w:rFonts w:hint="eastAsia"/>
        </w:rPr>
        <w:t>根据国内外指南对于产前超声标准切面的规范化要求，产前超声医师在产前筛查时，需要扫描并留存若干标准切面图像，并由上级医师定期回顾性抽查进行质控考核，或者上级医院定期“巡查”抽样质控，达到持续改进和降低漏诊误诊率的目的。基于人工智能</w:t>
      </w:r>
      <w:r>
        <w:t>的</w:t>
      </w:r>
      <w:r>
        <w:rPr>
          <w:rFonts w:hint="eastAsia"/>
        </w:rPr>
        <w:t>实时辅助产筛</w:t>
      </w:r>
      <w:r>
        <w:t>、</w:t>
      </w:r>
      <w:r>
        <w:rPr>
          <w:rFonts w:hint="eastAsia"/>
          <w:color w:val="000000" w:themeColor="text1"/>
          <w14:textFill>
            <w14:solidFill>
              <w14:schemeClr w14:val="tx1"/>
            </w14:solidFill>
          </w14:textFill>
        </w:rPr>
        <w:t>产筛超声规培考核系统</w:t>
      </w:r>
      <w:r>
        <w:rPr>
          <w:rFonts w:hint="eastAsia"/>
        </w:rPr>
        <w:t>等功能，使产前超声智能化、标准化、高效化。最终实现降低人力依赖、统一质控标准、提升质控效率、防止漏筛漏检、减少事后质控的目的。</w:t>
      </w:r>
    </w:p>
    <w:p>
      <w:pPr>
        <w:pStyle w:val="3"/>
        <w:numPr>
          <w:ilvl w:val="0"/>
          <w:numId w:val="3"/>
        </w:numPr>
        <w:rPr>
          <w:sz w:val="28"/>
          <w:szCs w:val="18"/>
        </w:rPr>
      </w:pPr>
      <w:r>
        <w:rPr>
          <w:rFonts w:hint="eastAsia"/>
          <w:sz w:val="28"/>
          <w:szCs w:val="18"/>
        </w:rPr>
        <w:t>建设内容</w:t>
      </w:r>
    </w:p>
    <w:p>
      <w:pPr>
        <w:spacing w:line="360" w:lineRule="auto"/>
        <w:ind w:firstLine="420"/>
      </w:pPr>
      <w:r>
        <w:rPr>
          <w:rFonts w:hint="eastAsia" w:ascii="宋体" w:hAnsi="宋体" w:cs="宋体"/>
          <w:szCs w:val="21"/>
        </w:rPr>
        <w:t>本项目的具体建设内容如下：</w:t>
      </w:r>
    </w:p>
    <w:tbl>
      <w:tblPr>
        <w:tblStyle w:val="1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91"/>
        <w:gridCol w:w="5313"/>
        <w:gridCol w:w="906"/>
        <w:gridCol w:w="104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2" w:hRule="atLeast"/>
          <w:jc w:val="center"/>
        </w:trPr>
        <w:tc>
          <w:tcPr>
            <w:tcW w:w="2091" w:type="dxa"/>
            <w:vAlign w:val="center"/>
          </w:tcPr>
          <w:p>
            <w:pPr>
              <w:pStyle w:val="35"/>
              <w:jc w:val="center"/>
              <w:rPr>
                <w:b/>
                <w:bCs/>
              </w:rPr>
            </w:pPr>
            <w:r>
              <w:rPr>
                <w:rFonts w:hint="eastAsia"/>
                <w:b/>
                <w:bCs/>
              </w:rPr>
              <w:t>产品名称</w:t>
            </w:r>
          </w:p>
        </w:tc>
        <w:tc>
          <w:tcPr>
            <w:tcW w:w="5313" w:type="dxa"/>
            <w:vAlign w:val="center"/>
          </w:tcPr>
          <w:p>
            <w:pPr>
              <w:pStyle w:val="35"/>
              <w:jc w:val="center"/>
              <w:rPr>
                <w:b/>
                <w:bCs/>
              </w:rPr>
            </w:pPr>
            <w:r>
              <w:rPr>
                <w:rFonts w:hint="eastAsia"/>
                <w:b/>
                <w:bCs/>
              </w:rPr>
              <w:t>功能规格</w:t>
            </w:r>
          </w:p>
        </w:tc>
        <w:tc>
          <w:tcPr>
            <w:tcW w:w="906" w:type="dxa"/>
            <w:vAlign w:val="center"/>
          </w:tcPr>
          <w:p>
            <w:pPr>
              <w:pStyle w:val="35"/>
              <w:jc w:val="center"/>
              <w:rPr>
                <w:b/>
                <w:bCs/>
              </w:rPr>
            </w:pPr>
            <w:r>
              <w:rPr>
                <w:rFonts w:hint="eastAsia"/>
                <w:b/>
                <w:bCs/>
              </w:rPr>
              <w:t>数量</w:t>
            </w:r>
          </w:p>
        </w:tc>
        <w:tc>
          <w:tcPr>
            <w:tcW w:w="1045" w:type="dxa"/>
            <w:vAlign w:val="center"/>
          </w:tcPr>
          <w:p>
            <w:pPr>
              <w:pStyle w:val="35"/>
              <w:jc w:val="center"/>
              <w:rPr>
                <w:b/>
                <w:bCs/>
              </w:rPr>
            </w:pPr>
            <w:r>
              <w:rPr>
                <w:rFonts w:hint="eastAsia"/>
                <w:b/>
                <w:bCs/>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91" w:type="dxa"/>
            <w:vAlign w:val="center"/>
          </w:tcPr>
          <w:p>
            <w:pPr>
              <w:pStyle w:val="35"/>
              <w:spacing w:line="360" w:lineRule="auto"/>
              <w:jc w:val="left"/>
              <w:rPr>
                <w:rFonts w:ascii="宋体" w:hAnsi="宋体" w:eastAsia="宋体"/>
                <w:sz w:val="24"/>
              </w:rPr>
            </w:pPr>
            <w:r>
              <w:rPr>
                <w:rFonts w:hint="eastAsia" w:asciiTheme="minorHAnsi" w:hAnsiTheme="minorHAnsi" w:eastAsiaTheme="minorEastAsia" w:cstheme="minorBidi"/>
                <w:kern w:val="2"/>
                <w:sz w:val="21"/>
                <w:szCs w:val="24"/>
                <w:lang w:val="en-US" w:eastAsia="zh-CN" w:bidi="ar-SA"/>
              </w:rPr>
              <w:t>产前超声动态影像质控及辅助系统</w:t>
            </w:r>
          </w:p>
        </w:tc>
        <w:tc>
          <w:tcPr>
            <w:tcW w:w="5313" w:type="dxa"/>
            <w:vAlign w:val="center"/>
          </w:tcPr>
          <w:p>
            <w:pPr>
              <w:pStyle w:val="2"/>
              <w:numPr>
                <w:ilvl w:val="0"/>
                <w:numId w:val="4"/>
              </w:numPr>
              <w:ind w:firstLine="0" w:firstLineChars="0"/>
              <w:jc w:val="left"/>
            </w:pPr>
            <w:r>
              <w:rPr>
                <w:rFonts w:hint="eastAsia"/>
              </w:rPr>
              <w:t>产筛超声质控管理功能，具备单人质控/多人质控等功能</w:t>
            </w:r>
          </w:p>
          <w:p>
            <w:pPr>
              <w:pStyle w:val="2"/>
              <w:numPr>
                <w:ilvl w:val="0"/>
                <w:numId w:val="4"/>
              </w:numPr>
              <w:ind w:firstLine="0" w:firstLineChars="0"/>
              <w:jc w:val="left"/>
            </w:pPr>
            <w:r>
              <w:rPr>
                <w:rFonts w:hint="eastAsia"/>
              </w:rPr>
              <w:t>产筛超声规培考核系统</w:t>
            </w:r>
          </w:p>
          <w:p>
            <w:pPr>
              <w:pStyle w:val="2"/>
              <w:numPr>
                <w:ilvl w:val="0"/>
                <w:numId w:val="4"/>
              </w:numPr>
              <w:ind w:firstLine="0" w:firstLineChars="0"/>
              <w:jc w:val="left"/>
            </w:pPr>
            <w:r>
              <w:rPr>
                <w:rFonts w:hint="eastAsia"/>
              </w:rPr>
              <w:t>早孕期/中晚孕期胎儿系统结构辅助筛查</w:t>
            </w:r>
          </w:p>
          <w:p>
            <w:pPr>
              <w:pStyle w:val="2"/>
              <w:numPr>
                <w:ilvl w:val="0"/>
                <w:numId w:val="4"/>
              </w:numPr>
              <w:ind w:firstLine="0" w:firstLineChars="0"/>
              <w:jc w:val="left"/>
            </w:pPr>
            <w:r>
              <w:rPr>
                <w:rFonts w:hint="eastAsia"/>
              </w:rPr>
              <w:t>具备</w:t>
            </w:r>
            <w:r>
              <w:t>胎儿多发畸形诊断思路引导、图文资料、检索、对比鉴别、常用图表等</w:t>
            </w:r>
            <w:r>
              <w:rPr>
                <w:rFonts w:hint="eastAsia"/>
              </w:rPr>
              <w:t>知识图谱模块</w:t>
            </w:r>
          </w:p>
          <w:p>
            <w:pPr>
              <w:pStyle w:val="2"/>
              <w:numPr>
                <w:ilvl w:val="0"/>
                <w:numId w:val="4"/>
              </w:numPr>
              <w:ind w:firstLine="0" w:firstLineChars="0"/>
              <w:jc w:val="left"/>
            </w:pPr>
            <w:r>
              <w:t>现场留图考核以及导入图片考核，提供静态留图定量评分及考核报告</w:t>
            </w:r>
          </w:p>
          <w:p>
            <w:pPr>
              <w:pStyle w:val="2"/>
              <w:numPr>
                <w:ilvl w:val="0"/>
                <w:numId w:val="4"/>
              </w:numPr>
              <w:ind w:firstLine="0" w:firstLineChars="0"/>
              <w:jc w:val="left"/>
            </w:pPr>
            <w:r>
              <w:rPr>
                <w:rFonts w:hint="eastAsia"/>
              </w:rPr>
              <w:t>对接院内pacs工作站，图文资料可实时传输到工作站，工作站可传图到超声质控系统进行质控</w:t>
            </w:r>
          </w:p>
        </w:tc>
        <w:tc>
          <w:tcPr>
            <w:tcW w:w="906" w:type="dxa"/>
            <w:vAlign w:val="center"/>
          </w:tcPr>
          <w:p>
            <w:pPr>
              <w:pStyle w:val="35"/>
              <w:spacing w:line="360" w:lineRule="auto"/>
              <w:jc w:val="center"/>
              <w:rPr>
                <w:rFonts w:ascii="宋体" w:hAnsi="宋体" w:eastAsia="宋体"/>
                <w:sz w:val="24"/>
              </w:rPr>
            </w:pPr>
            <w:r>
              <w:rPr>
                <w:rFonts w:hint="eastAsia" w:ascii="宋体" w:hAnsi="宋体" w:eastAsia="宋体"/>
                <w:sz w:val="24"/>
              </w:rPr>
              <w:t>1套</w:t>
            </w:r>
          </w:p>
        </w:tc>
        <w:tc>
          <w:tcPr>
            <w:tcW w:w="1045" w:type="dxa"/>
            <w:vAlign w:val="center"/>
          </w:tcPr>
          <w:p>
            <w:pPr>
              <w:pStyle w:val="35"/>
              <w:jc w:val="center"/>
              <w:rPr>
                <w:b/>
                <w:bCs/>
              </w:rPr>
            </w:pPr>
          </w:p>
        </w:tc>
      </w:tr>
    </w:tbl>
    <w:p/>
    <w:p>
      <w:pPr>
        <w:spacing w:after="160" w:line="360" w:lineRule="auto"/>
        <w:rPr>
          <w:rFonts w:eastAsia="宋体"/>
        </w:rPr>
      </w:pPr>
    </w:p>
    <w:p>
      <w:pPr>
        <w:pStyle w:val="3"/>
        <w:numPr>
          <w:ilvl w:val="0"/>
          <w:numId w:val="5"/>
        </w:numPr>
        <w:rPr>
          <w:sz w:val="28"/>
          <w:szCs w:val="18"/>
        </w:rPr>
      </w:pPr>
      <w:r>
        <w:rPr>
          <w:rFonts w:hint="eastAsia"/>
          <w:sz w:val="28"/>
          <w:szCs w:val="18"/>
        </w:rPr>
        <w:t>建设依据与规范</w:t>
      </w:r>
    </w:p>
    <w:p>
      <w:pPr>
        <w:numPr>
          <w:ilvl w:val="0"/>
          <w:numId w:val="6"/>
        </w:numPr>
        <w:spacing w:after="160" w:line="360" w:lineRule="auto"/>
        <w:rPr>
          <w:rFonts w:ascii="宋体" w:hAnsi="宋体" w:eastAsia="宋体" w:cs="宋体"/>
          <w:sz w:val="24"/>
        </w:rPr>
      </w:pPr>
      <w:r>
        <w:rPr>
          <w:rFonts w:ascii="宋体" w:hAnsi="宋体" w:eastAsia="宋体" w:cs="宋体"/>
          <w:sz w:val="24"/>
        </w:rPr>
        <w:t>《关于加强省级产前诊断能力建设的通知》</w:t>
      </w:r>
      <w:r>
        <w:rPr>
          <w:rFonts w:hint="eastAsia" w:ascii="宋体" w:hAnsi="宋体" w:eastAsia="宋体" w:cs="宋体"/>
          <w:sz w:val="24"/>
        </w:rPr>
        <w:t>(</w:t>
      </w:r>
      <w:r>
        <w:rPr>
          <w:rFonts w:ascii="宋体" w:hAnsi="宋体" w:eastAsia="宋体" w:cs="宋体"/>
          <w:sz w:val="24"/>
        </w:rPr>
        <w:t>国卫办妇幼函[2022]94号</w:t>
      </w:r>
      <w:r>
        <w:rPr>
          <w:rFonts w:hint="eastAsia" w:ascii="宋体" w:hAnsi="宋体" w:eastAsia="宋体" w:cs="宋体"/>
          <w:sz w:val="24"/>
        </w:rPr>
        <w:t>)；</w:t>
      </w:r>
    </w:p>
    <w:p>
      <w:pPr>
        <w:numPr>
          <w:ilvl w:val="0"/>
          <w:numId w:val="6"/>
        </w:numPr>
        <w:spacing w:after="160" w:line="360" w:lineRule="auto"/>
        <w:rPr>
          <w:rFonts w:ascii="宋体" w:hAnsi="宋体" w:eastAsia="宋体" w:cs="宋体"/>
          <w:sz w:val="24"/>
        </w:rPr>
      </w:pPr>
      <w:r>
        <w:rPr>
          <w:rFonts w:hint="eastAsia" w:ascii="宋体" w:hAnsi="宋体" w:eastAsia="宋体" w:cs="宋体"/>
          <w:sz w:val="24"/>
        </w:rPr>
        <w:t>《超声诊</w:t>
      </w:r>
      <w:r>
        <w:rPr>
          <w:rFonts w:ascii="宋体" w:hAnsi="宋体" w:eastAsia="宋体" w:cs="宋体"/>
          <w:sz w:val="24"/>
        </w:rPr>
        <w:t>断等5个专业医疗质量控制指标(2022年版)</w:t>
      </w:r>
      <w:r>
        <w:rPr>
          <w:rFonts w:hint="eastAsia" w:ascii="宋体" w:hAnsi="宋体" w:eastAsia="宋体" w:cs="宋体"/>
          <w:sz w:val="24"/>
        </w:rPr>
        <w:t>》</w:t>
      </w:r>
      <w:r>
        <w:rPr>
          <w:rFonts w:ascii="宋体" w:hAnsi="宋体" w:eastAsia="宋体" w:cs="宋体"/>
          <w:sz w:val="24"/>
        </w:rPr>
        <w:t>国卫办医函〔2022〕161号</w:t>
      </w:r>
      <w:r>
        <w:rPr>
          <w:rFonts w:hint="eastAsia" w:ascii="宋体" w:hAnsi="宋体" w:eastAsia="宋体" w:cs="宋体"/>
          <w:sz w:val="24"/>
        </w:rPr>
        <w:t>；</w:t>
      </w:r>
    </w:p>
    <w:p>
      <w:pPr>
        <w:pStyle w:val="3"/>
        <w:numPr>
          <w:ilvl w:val="0"/>
          <w:numId w:val="0"/>
        </w:numPr>
        <w:rPr>
          <w:sz w:val="28"/>
          <w:szCs w:val="18"/>
        </w:rPr>
      </w:pPr>
      <w:r>
        <w:rPr>
          <w:rFonts w:hint="eastAsia"/>
          <w:sz w:val="28"/>
          <w:szCs w:val="18"/>
        </w:rPr>
        <w:t>5.交付要求</w:t>
      </w:r>
    </w:p>
    <w:p>
      <w:pPr>
        <w:spacing w:after="160" w:line="360" w:lineRule="auto"/>
        <w:ind w:firstLine="480" w:firstLineChars="200"/>
        <w:rPr>
          <w:rFonts w:ascii="宋体" w:hAnsi="宋体" w:eastAsia="宋体" w:cs="宋体"/>
          <w:sz w:val="24"/>
        </w:rPr>
      </w:pPr>
      <w:r>
        <w:rPr>
          <w:rFonts w:hint="eastAsia" w:ascii="宋体" w:hAnsi="宋体" w:eastAsia="宋体" w:cs="宋体"/>
          <w:sz w:val="24"/>
        </w:rPr>
        <w:t>交付驻场服务地点：广东省妇幼保健院</w:t>
      </w:r>
    </w:p>
    <w:p>
      <w:pPr>
        <w:spacing w:after="160" w:line="360" w:lineRule="auto"/>
        <w:ind w:firstLine="480" w:firstLineChars="200"/>
        <w:rPr>
          <w:rFonts w:ascii="宋体" w:hAnsi="宋体" w:eastAsia="宋体" w:cs="宋体"/>
          <w:sz w:val="24"/>
        </w:rPr>
      </w:pPr>
      <w:r>
        <w:rPr>
          <w:rFonts w:hint="eastAsia" w:ascii="宋体" w:hAnsi="宋体" w:eastAsia="宋体" w:cs="宋体"/>
          <w:sz w:val="24"/>
        </w:rPr>
        <w:t>项目工期要求：在2个月内完成系统上线，3个月内完成整体项目验收，不含院内第三方系统厂家所花时间。</w:t>
      </w:r>
    </w:p>
    <w:p>
      <w:pPr>
        <w:pStyle w:val="3"/>
        <w:numPr>
          <w:ilvl w:val="0"/>
          <w:numId w:val="0"/>
        </w:numPr>
        <w:rPr>
          <w:sz w:val="28"/>
          <w:szCs w:val="18"/>
        </w:rPr>
      </w:pPr>
      <w:r>
        <w:rPr>
          <w:rFonts w:hint="eastAsia"/>
          <w:sz w:val="28"/>
          <w:szCs w:val="18"/>
        </w:rPr>
        <w:t>6.技术要求</w:t>
      </w:r>
    </w:p>
    <w:p>
      <w:pPr>
        <w:pStyle w:val="4"/>
        <w:numPr>
          <w:ilvl w:val="1"/>
          <w:numId w:val="7"/>
        </w:numPr>
        <w:jc w:val="left"/>
        <w:rPr>
          <w:sz w:val="24"/>
          <w:szCs w:val="21"/>
        </w:rPr>
      </w:pPr>
      <w:r>
        <w:rPr>
          <w:rFonts w:hint="eastAsia"/>
          <w:sz w:val="24"/>
          <w:szCs w:val="21"/>
        </w:rPr>
        <w:t>建设原则</w:t>
      </w:r>
    </w:p>
    <w:p>
      <w:pPr>
        <w:spacing w:after="160" w:line="360" w:lineRule="auto"/>
        <w:rPr>
          <w:rFonts w:ascii="宋体" w:hAnsi="宋体" w:eastAsia="宋体" w:cs="宋体"/>
          <w:sz w:val="24"/>
          <w:szCs w:val="24"/>
        </w:rPr>
      </w:pPr>
      <w:r>
        <w:rPr>
          <w:rFonts w:hint="eastAsia" w:ascii="宋体" w:hAnsi="宋体" w:eastAsia="宋体"/>
          <w:sz w:val="24"/>
        </w:rPr>
        <w:t>超声科产筛超声质控系统</w:t>
      </w:r>
      <w:r>
        <w:rPr>
          <w:rFonts w:hint="eastAsia" w:ascii="宋体" w:hAnsi="宋体" w:eastAsia="宋体" w:cs="宋体"/>
          <w:sz w:val="24"/>
        </w:rPr>
        <w:t>的建设遵从以下原则：</w:t>
      </w:r>
      <w:r>
        <w:rPr>
          <w:rFonts w:hint="eastAsia" w:ascii="宋体" w:hAnsi="宋体" w:eastAsia="宋体" w:cs="宋体"/>
          <w:sz w:val="24"/>
          <w:szCs w:val="24"/>
        </w:rPr>
        <w:t xml:space="preserve"> </w:t>
      </w:r>
    </w:p>
    <w:p>
      <w:pPr>
        <w:rPr>
          <w:rFonts w:hint="eastAsia"/>
          <w:sz w:val="24"/>
          <w:szCs w:val="24"/>
        </w:rPr>
      </w:pPr>
      <w:r>
        <w:rPr>
          <w:rFonts w:hint="eastAsia"/>
          <w:sz w:val="24"/>
          <w:szCs w:val="24"/>
        </w:rPr>
        <w:t>1.经济、合理原则</w:t>
      </w:r>
    </w:p>
    <w:p>
      <w:pPr>
        <w:spacing w:after="160" w:line="360" w:lineRule="auto"/>
        <w:ind w:firstLine="480" w:firstLineChars="200"/>
        <w:rPr>
          <w:rFonts w:ascii="宋体" w:hAnsi="宋体" w:eastAsia="宋体" w:cs="宋体"/>
          <w:sz w:val="24"/>
          <w:szCs w:val="24"/>
        </w:rPr>
      </w:pPr>
      <w:r>
        <w:rPr>
          <w:rFonts w:hint="eastAsia" w:ascii="宋体" w:hAnsi="宋体" w:eastAsia="宋体" w:cs="宋体"/>
          <w:sz w:val="24"/>
          <w:szCs w:val="24"/>
        </w:rPr>
        <w:t>应依据现有网络的实际情况，尽可能利用现有的网络条件，利用已有的设备和已建设的信息资源，建设适用产筛超声质控</w:t>
      </w:r>
      <w:r>
        <w:rPr>
          <w:rFonts w:hint="eastAsia" w:ascii="宋体" w:hAnsi="宋体" w:eastAsia="宋体"/>
          <w:sz w:val="24"/>
          <w:szCs w:val="24"/>
        </w:rPr>
        <w:t>系统</w:t>
      </w:r>
      <w:r>
        <w:rPr>
          <w:rFonts w:hint="eastAsia" w:ascii="宋体" w:hAnsi="宋体" w:eastAsia="宋体" w:cs="宋体"/>
          <w:sz w:val="24"/>
          <w:szCs w:val="24"/>
        </w:rPr>
        <w:t>。</w:t>
      </w:r>
    </w:p>
    <w:p>
      <w:pPr>
        <w:rPr>
          <w:sz w:val="24"/>
          <w:szCs w:val="24"/>
        </w:rPr>
      </w:pPr>
      <w:r>
        <w:rPr>
          <w:rFonts w:hint="eastAsia"/>
          <w:sz w:val="24"/>
          <w:szCs w:val="24"/>
        </w:rPr>
        <w:t>2.先进性原则</w:t>
      </w:r>
    </w:p>
    <w:p>
      <w:pPr>
        <w:spacing w:after="160" w:line="360" w:lineRule="auto"/>
        <w:ind w:firstLine="480" w:firstLineChars="200"/>
        <w:rPr>
          <w:rFonts w:ascii="宋体" w:hAnsi="宋体" w:eastAsia="宋体" w:cs="宋体"/>
          <w:sz w:val="24"/>
          <w:szCs w:val="24"/>
        </w:rPr>
      </w:pPr>
      <w:r>
        <w:rPr>
          <w:rFonts w:hint="eastAsia" w:ascii="宋体" w:hAnsi="宋体" w:eastAsia="宋体" w:cs="宋体"/>
          <w:sz w:val="24"/>
          <w:szCs w:val="24"/>
        </w:rPr>
        <w:t>系统严格遵循国际标准、国家标准和国内通信行业的规范要求符合行业的发展趋势，并确保采用当前成熟的产品技术所有的设备采用最先进的技术，确保今后相当长的时间内技术上不会落伍。</w:t>
      </w:r>
    </w:p>
    <w:p>
      <w:pPr>
        <w:rPr>
          <w:sz w:val="24"/>
          <w:szCs w:val="24"/>
        </w:rPr>
      </w:pPr>
      <w:r>
        <w:rPr>
          <w:rFonts w:hint="eastAsia"/>
          <w:sz w:val="24"/>
          <w:szCs w:val="24"/>
        </w:rPr>
        <w:t>3.开放、兼容原则</w:t>
      </w:r>
    </w:p>
    <w:p>
      <w:pPr>
        <w:spacing w:after="160" w:line="360" w:lineRule="auto"/>
        <w:ind w:firstLine="480" w:firstLineChars="200"/>
        <w:rPr>
          <w:rFonts w:ascii="宋体" w:hAnsi="宋体" w:eastAsia="宋体" w:cs="宋体"/>
          <w:sz w:val="24"/>
          <w:szCs w:val="24"/>
        </w:rPr>
      </w:pPr>
      <w:r>
        <w:rPr>
          <w:rFonts w:hint="eastAsia" w:ascii="宋体" w:hAnsi="宋体" w:eastAsia="宋体" w:cs="宋体"/>
          <w:sz w:val="24"/>
          <w:szCs w:val="24"/>
        </w:rPr>
        <w:t>完全符合标准框架协议，采用业界协议采用开放式标准设计，能够兼容其他医疗系统和设备，满足今后的发展，为未来业务扩展留有充分的扩充余地。</w:t>
      </w:r>
    </w:p>
    <w:p>
      <w:pPr>
        <w:rPr>
          <w:sz w:val="24"/>
          <w:szCs w:val="24"/>
        </w:rPr>
      </w:pPr>
      <w:r>
        <w:rPr>
          <w:rFonts w:hint="eastAsia"/>
          <w:sz w:val="24"/>
          <w:szCs w:val="24"/>
        </w:rPr>
        <w:t>4.安全、可靠原则</w:t>
      </w:r>
    </w:p>
    <w:p>
      <w:pPr>
        <w:spacing w:after="160" w:line="360" w:lineRule="auto"/>
        <w:ind w:firstLine="480" w:firstLineChars="200"/>
        <w:rPr>
          <w:rFonts w:ascii="宋体" w:hAnsi="宋体" w:eastAsia="宋体" w:cs="宋体"/>
          <w:sz w:val="24"/>
          <w:szCs w:val="24"/>
        </w:rPr>
      </w:pPr>
      <w:r>
        <w:rPr>
          <w:rFonts w:hint="eastAsia" w:ascii="宋体" w:hAnsi="宋体" w:eastAsia="宋体" w:cs="宋体"/>
          <w:sz w:val="24"/>
          <w:szCs w:val="24"/>
        </w:rPr>
        <w:t>平台应具有高度的安全性，具有分级权限管理和高级加密机制。对工作环境要求较低，环境适应能力要强，系统设备安装使用简单，具有很好的备份机制，满足高可靠性需求。针对于端到端的业务故障，有很好的备份、应对机制。</w:t>
      </w:r>
    </w:p>
    <w:p>
      <w:pPr>
        <w:pStyle w:val="2"/>
        <w:ind w:firstLine="420"/>
      </w:pPr>
    </w:p>
    <w:p>
      <w:pPr>
        <w:pStyle w:val="4"/>
        <w:numPr>
          <w:ilvl w:val="1"/>
          <w:numId w:val="7"/>
        </w:numPr>
        <w:jc w:val="left"/>
        <w:rPr>
          <w:sz w:val="24"/>
          <w:szCs w:val="21"/>
        </w:rPr>
      </w:pPr>
      <w:r>
        <w:rPr>
          <w:rFonts w:hint="eastAsia"/>
          <w:sz w:val="24"/>
          <w:szCs w:val="21"/>
        </w:rPr>
        <w:t>总体要求</w:t>
      </w:r>
    </w:p>
    <w:p>
      <w:pPr>
        <w:numPr>
          <w:ilvl w:val="0"/>
          <w:numId w:val="8"/>
        </w:numPr>
        <w:spacing w:line="360" w:lineRule="auto"/>
        <w:rPr>
          <w:rFonts w:ascii="宋体" w:hAnsi="宋体" w:eastAsia="宋体" w:cs="宋体"/>
          <w:sz w:val="24"/>
        </w:rPr>
      </w:pPr>
      <w:r>
        <w:rPr>
          <w:rFonts w:hint="eastAsia" w:ascii="宋体" w:hAnsi="宋体" w:eastAsia="宋体" w:cs="宋体"/>
          <w:sz w:val="24"/>
        </w:rPr>
        <w:t>符合中国本土化需求，软件界面友好，操作方便。</w:t>
      </w:r>
    </w:p>
    <w:p>
      <w:pPr>
        <w:numPr>
          <w:ilvl w:val="0"/>
          <w:numId w:val="8"/>
        </w:numPr>
        <w:spacing w:line="360" w:lineRule="auto"/>
        <w:rPr>
          <w:rFonts w:ascii="宋体" w:hAnsi="宋体" w:eastAsia="宋体" w:cs="宋体"/>
          <w:sz w:val="24"/>
        </w:rPr>
      </w:pPr>
      <w:r>
        <w:rPr>
          <w:rFonts w:hint="eastAsia" w:ascii="宋体" w:hAnsi="宋体" w:eastAsia="宋体" w:cs="宋体"/>
          <w:sz w:val="24"/>
        </w:rPr>
        <w:t>真正实现数据互联互通，达到提高工作效率、集中管理和资源有效利用的目的；</w:t>
      </w:r>
    </w:p>
    <w:p>
      <w:pPr>
        <w:numPr>
          <w:ilvl w:val="0"/>
          <w:numId w:val="8"/>
        </w:numPr>
        <w:spacing w:line="360" w:lineRule="auto"/>
        <w:rPr>
          <w:rFonts w:ascii="宋体" w:hAnsi="宋体" w:eastAsia="宋体" w:cs="宋体"/>
          <w:sz w:val="24"/>
        </w:rPr>
      </w:pPr>
      <w:r>
        <w:rPr>
          <w:rFonts w:hint="eastAsia" w:ascii="宋体" w:hAnsi="宋体" w:eastAsia="宋体" w:cs="宋体"/>
          <w:sz w:val="24"/>
        </w:rPr>
        <w:t>严格的权限设置，各权限只能通过授权获得，支持建立不同权限的多角色。</w:t>
      </w:r>
    </w:p>
    <w:p>
      <w:pPr>
        <w:pStyle w:val="2"/>
        <w:spacing w:line="360" w:lineRule="auto"/>
        <w:ind w:firstLine="0" w:firstLineChars="0"/>
        <w:rPr>
          <w:rFonts w:ascii="宋体" w:hAnsi="宋体" w:eastAsia="宋体" w:cs="宋体"/>
          <w:sz w:val="24"/>
        </w:rPr>
      </w:pPr>
      <w:r>
        <w:rPr>
          <w:rFonts w:hint="eastAsia" w:ascii="宋体" w:hAnsi="宋体" w:eastAsia="宋体" w:cs="宋体"/>
          <w:sz w:val="24"/>
        </w:rPr>
        <w:t>4.</w:t>
      </w:r>
      <w:r>
        <w:rPr>
          <w:sz w:val="24"/>
        </w:rPr>
        <w:t xml:space="preserve"> 用户需求在开发期和试运行期内，仍有可能不断完善，须承诺在采购需求和政策法规范围内，随着建设单位需求的变更随时做出响应，修改应用软件。正式验收通过后，若有需求变更，在免费维护期内，仍应免费按用户需求对系统做出相应修改，以满足用户的需求。</w:t>
      </w:r>
    </w:p>
    <w:p>
      <w:pPr>
        <w:pStyle w:val="4"/>
        <w:numPr>
          <w:ilvl w:val="1"/>
          <w:numId w:val="7"/>
        </w:numPr>
        <w:jc w:val="left"/>
        <w:rPr>
          <w:sz w:val="24"/>
          <w:szCs w:val="21"/>
        </w:rPr>
      </w:pPr>
      <w:r>
        <w:rPr>
          <w:rFonts w:hint="eastAsia"/>
          <w:sz w:val="24"/>
          <w:szCs w:val="21"/>
        </w:rPr>
        <w:t>系统功能要求</w:t>
      </w:r>
    </w:p>
    <w:tbl>
      <w:tblPr>
        <w:tblStyle w:val="17"/>
        <w:tblW w:w="930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86"/>
        <w:gridCol w:w="1898"/>
        <w:gridCol w:w="652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86" w:type="dxa"/>
            <w:shd w:val="clear" w:color="auto" w:fill="E7E6E6" w:themeFill="background2"/>
            <w:vAlign w:val="center"/>
          </w:tcPr>
          <w:p>
            <w:pPr>
              <w:spacing w:line="480" w:lineRule="atLeast"/>
              <w:jc w:val="center"/>
              <w:rPr>
                <w:rFonts w:asciiTheme="minorEastAsia" w:hAnsiTheme="minorEastAsia" w:cstheme="minorEastAsia"/>
                <w:szCs w:val="21"/>
              </w:rPr>
            </w:pPr>
            <w:r>
              <w:rPr>
                <w:rFonts w:hint="eastAsia" w:asciiTheme="minorEastAsia" w:hAnsiTheme="minorEastAsia" w:cstheme="minorEastAsia"/>
                <w:szCs w:val="21"/>
              </w:rPr>
              <w:t>项目</w:t>
            </w:r>
          </w:p>
        </w:tc>
        <w:tc>
          <w:tcPr>
            <w:tcW w:w="1898" w:type="dxa"/>
            <w:shd w:val="clear" w:color="auto" w:fill="E7E6E6" w:themeFill="background2"/>
          </w:tcPr>
          <w:p>
            <w:pPr>
              <w:spacing w:line="480" w:lineRule="atLeast"/>
              <w:jc w:val="center"/>
              <w:rPr>
                <w:rFonts w:asciiTheme="minorEastAsia" w:hAnsiTheme="minorEastAsia" w:cstheme="minorEastAsia"/>
                <w:szCs w:val="21"/>
              </w:rPr>
            </w:pPr>
            <w:r>
              <w:rPr>
                <w:rFonts w:hint="eastAsia" w:asciiTheme="minorEastAsia" w:hAnsiTheme="minorEastAsia" w:cstheme="minorEastAsia"/>
                <w:szCs w:val="21"/>
              </w:rPr>
              <w:t>名称</w:t>
            </w:r>
          </w:p>
        </w:tc>
        <w:tc>
          <w:tcPr>
            <w:tcW w:w="6525" w:type="dxa"/>
            <w:shd w:val="clear" w:color="auto" w:fill="E7E6E6" w:themeFill="background2"/>
          </w:tcPr>
          <w:p>
            <w:pPr>
              <w:spacing w:line="480" w:lineRule="atLeast"/>
              <w:jc w:val="center"/>
              <w:rPr>
                <w:rFonts w:asciiTheme="minorEastAsia" w:hAnsiTheme="minorEastAsia" w:cstheme="minorEastAsia"/>
                <w:szCs w:val="21"/>
              </w:rPr>
            </w:pPr>
            <w:r>
              <w:rPr>
                <w:rFonts w:hint="eastAsia" w:asciiTheme="minorEastAsia" w:hAnsiTheme="minorEastAsia" w:cstheme="minorEastAsia"/>
                <w:szCs w:val="21"/>
              </w:rPr>
              <w:t>描述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86" w:type="dxa"/>
            <w:vAlign w:val="center"/>
          </w:tcPr>
          <w:p>
            <w:pPr>
              <w:spacing w:line="480" w:lineRule="atLeast"/>
              <w:jc w:val="center"/>
              <w:rPr>
                <w:rFonts w:asciiTheme="minorEastAsia" w:hAnsiTheme="minorEastAsia" w:cstheme="minorEastAsia"/>
                <w:szCs w:val="21"/>
              </w:rPr>
            </w:pPr>
            <w:r>
              <w:rPr>
                <w:rFonts w:hint="eastAsia" w:asciiTheme="minorEastAsia" w:hAnsiTheme="minorEastAsia" w:cstheme="minorEastAsia"/>
                <w:szCs w:val="21"/>
              </w:rPr>
              <w:t>1</w:t>
            </w:r>
          </w:p>
        </w:tc>
        <w:tc>
          <w:tcPr>
            <w:tcW w:w="1898" w:type="dxa"/>
            <w:vAlign w:val="center"/>
          </w:tcPr>
          <w:p>
            <w:pPr>
              <w:spacing w:line="480" w:lineRule="atLeast"/>
              <w:jc w:val="center"/>
              <w:rPr>
                <w:rFonts w:asciiTheme="minorEastAsia" w:hAnsiTheme="minorEastAsia" w:cstheme="minorEastAsia"/>
                <w:szCs w:val="21"/>
              </w:rPr>
            </w:pPr>
            <w:r>
              <w:rPr>
                <w:rFonts w:hint="eastAsia"/>
              </w:rPr>
              <w:t>超声科产筛超声质控系统</w:t>
            </w:r>
          </w:p>
        </w:tc>
        <w:tc>
          <w:tcPr>
            <w:tcW w:w="6525" w:type="dxa"/>
            <w:vAlign w:val="center"/>
          </w:tcPr>
          <w:p>
            <w:pPr>
              <w:spacing w:line="480" w:lineRule="atLeast"/>
              <w:rPr>
                <w:rFonts w:asciiTheme="minorEastAsia" w:hAnsiTheme="minorEastAsia" w:cstheme="minorEastAsia"/>
                <w:szCs w:val="21"/>
              </w:rPr>
            </w:pPr>
            <w:r>
              <w:rPr>
                <w:rFonts w:hint="eastAsia" w:asciiTheme="minorEastAsia" w:hAnsiTheme="minorEastAsia" w:cstheme="minorEastAsia"/>
                <w:szCs w:val="21"/>
              </w:rPr>
              <w:t>用于产前超声实时影像数据智能化分析，胎儿生长参数自动测量，全流程质控等，优异的动态数据处理能力。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86" w:type="dxa"/>
            <w:vAlign w:val="center"/>
          </w:tcPr>
          <w:p>
            <w:pPr>
              <w:spacing w:line="480" w:lineRule="atLeast"/>
              <w:jc w:val="center"/>
              <w:rPr>
                <w:rFonts w:asciiTheme="minorEastAsia" w:hAnsiTheme="minorEastAsia" w:cstheme="minorEastAsia"/>
                <w:szCs w:val="21"/>
              </w:rPr>
            </w:pPr>
            <w:r>
              <w:rPr>
                <w:rFonts w:hint="eastAsia" w:asciiTheme="minorEastAsia" w:hAnsiTheme="minorEastAsia" w:cstheme="minorEastAsia"/>
                <w:szCs w:val="21"/>
              </w:rPr>
              <w:t>2</w:t>
            </w:r>
          </w:p>
        </w:tc>
        <w:tc>
          <w:tcPr>
            <w:tcW w:w="1898" w:type="dxa"/>
            <w:vAlign w:val="center"/>
          </w:tcPr>
          <w:p>
            <w:pPr>
              <w:spacing w:line="480" w:lineRule="atLeast"/>
              <w:jc w:val="center"/>
              <w:rPr>
                <w:rFonts w:asciiTheme="minorEastAsia" w:hAnsiTheme="minorEastAsia" w:cstheme="minorEastAsia"/>
                <w:szCs w:val="21"/>
              </w:rPr>
            </w:pPr>
            <w:r>
              <w:rPr>
                <w:rFonts w:hint="eastAsia" w:asciiTheme="minorEastAsia" w:hAnsiTheme="minorEastAsia" w:cstheme="minorEastAsia"/>
                <w:szCs w:val="21"/>
              </w:rPr>
              <w:t>标准切面智能引导</w:t>
            </w:r>
          </w:p>
        </w:tc>
        <w:tc>
          <w:tcPr>
            <w:tcW w:w="6525" w:type="dxa"/>
            <w:vAlign w:val="center"/>
          </w:tcPr>
          <w:p>
            <w:pPr>
              <w:spacing w:line="480" w:lineRule="atLeast"/>
              <w:rPr>
                <w:rFonts w:asciiTheme="minorEastAsia" w:hAnsiTheme="minorEastAsia" w:cstheme="minorEastAsia"/>
                <w:szCs w:val="21"/>
              </w:rPr>
            </w:pPr>
            <w:r>
              <w:rPr>
                <w:rFonts w:hint="eastAsia" w:asciiTheme="minorEastAsia" w:hAnsiTheme="minorEastAsia" w:cstheme="minorEastAsia"/>
                <w:szCs w:val="21"/>
              </w:rPr>
              <w:t>基于国家指南及专家共识对标准切面的要求，可以实时精准智能监测全孕期标准切面是否检出，切面是否标准，自动捕获标准切面，并实时引导操作者获取更标准切面，防止漏筛漏检。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86" w:type="dxa"/>
            <w:vAlign w:val="center"/>
          </w:tcPr>
          <w:p>
            <w:pPr>
              <w:spacing w:line="480" w:lineRule="atLeast"/>
              <w:jc w:val="center"/>
              <w:rPr>
                <w:rFonts w:asciiTheme="minorEastAsia" w:hAnsiTheme="minorEastAsia" w:cstheme="minorEastAsia"/>
                <w:szCs w:val="21"/>
              </w:rPr>
            </w:pPr>
            <w:r>
              <w:rPr>
                <w:rFonts w:hint="eastAsia" w:asciiTheme="minorEastAsia" w:hAnsiTheme="minorEastAsia" w:cstheme="minorEastAsia"/>
                <w:szCs w:val="21"/>
              </w:rPr>
              <w:t>3</w:t>
            </w:r>
          </w:p>
        </w:tc>
        <w:tc>
          <w:tcPr>
            <w:tcW w:w="1898" w:type="dxa"/>
            <w:vAlign w:val="center"/>
          </w:tcPr>
          <w:p>
            <w:pPr>
              <w:spacing w:line="480" w:lineRule="atLeast"/>
              <w:jc w:val="center"/>
              <w:rPr>
                <w:rFonts w:asciiTheme="minorEastAsia" w:hAnsiTheme="minorEastAsia" w:cstheme="minorEastAsia"/>
                <w:szCs w:val="21"/>
              </w:rPr>
            </w:pPr>
            <w:r>
              <w:rPr>
                <w:rFonts w:hint="eastAsia" w:asciiTheme="minorEastAsia" w:hAnsiTheme="minorEastAsia" w:cstheme="minorEastAsia"/>
                <w:szCs w:val="21"/>
              </w:rPr>
              <w:t>自动测量技术</w:t>
            </w:r>
          </w:p>
        </w:tc>
        <w:tc>
          <w:tcPr>
            <w:tcW w:w="6525" w:type="dxa"/>
            <w:vAlign w:val="center"/>
          </w:tcPr>
          <w:p>
            <w:pPr>
              <w:spacing w:line="480" w:lineRule="atLeast"/>
              <w:rPr>
                <w:rFonts w:asciiTheme="minorEastAsia" w:hAnsiTheme="minorEastAsia" w:cstheme="minorEastAsia"/>
                <w:szCs w:val="21"/>
              </w:rPr>
            </w:pPr>
            <w:r>
              <w:rPr>
                <w:rFonts w:hint="eastAsia" w:asciiTheme="minorEastAsia" w:hAnsiTheme="minorEastAsia" w:cstheme="minorEastAsia"/>
                <w:szCs w:val="21"/>
              </w:rPr>
              <w:t>包含全孕期胎儿系统筛查12项生物测量指标自动测量，实时优化修正，自动生成报告，可对接pacs工作站直接传输图文；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86" w:type="dxa"/>
            <w:vAlign w:val="center"/>
          </w:tcPr>
          <w:p>
            <w:pPr>
              <w:spacing w:line="480" w:lineRule="atLeast"/>
              <w:jc w:val="center"/>
              <w:rPr>
                <w:rFonts w:asciiTheme="minorEastAsia" w:hAnsiTheme="minorEastAsia" w:cstheme="minorEastAsia"/>
                <w:szCs w:val="21"/>
              </w:rPr>
            </w:pPr>
            <w:r>
              <w:rPr>
                <w:rFonts w:hint="eastAsia" w:asciiTheme="minorEastAsia" w:hAnsiTheme="minorEastAsia" w:cstheme="minorEastAsia"/>
                <w:szCs w:val="21"/>
              </w:rPr>
              <w:t>4</w:t>
            </w:r>
          </w:p>
        </w:tc>
        <w:tc>
          <w:tcPr>
            <w:tcW w:w="1898" w:type="dxa"/>
            <w:vAlign w:val="center"/>
          </w:tcPr>
          <w:p>
            <w:pPr>
              <w:spacing w:line="480" w:lineRule="atLeast"/>
              <w:jc w:val="center"/>
              <w:rPr>
                <w:rFonts w:asciiTheme="minorEastAsia" w:hAnsiTheme="minorEastAsia" w:cstheme="minorEastAsia"/>
                <w:szCs w:val="21"/>
              </w:rPr>
            </w:pPr>
            <w:r>
              <w:rPr>
                <w:rFonts w:hint="eastAsia" w:asciiTheme="minorEastAsia" w:hAnsiTheme="minorEastAsia" w:cstheme="minorEastAsia"/>
                <w:szCs w:val="21"/>
              </w:rPr>
              <w:t>异常检测</w:t>
            </w:r>
          </w:p>
        </w:tc>
        <w:tc>
          <w:tcPr>
            <w:tcW w:w="6525" w:type="dxa"/>
            <w:vAlign w:val="center"/>
          </w:tcPr>
          <w:p>
            <w:pPr>
              <w:spacing w:line="480" w:lineRule="atLeast"/>
              <w:rPr>
                <w:rFonts w:asciiTheme="minorEastAsia" w:hAnsiTheme="minorEastAsia" w:cstheme="minorEastAsia"/>
                <w:szCs w:val="21"/>
              </w:rPr>
            </w:pPr>
            <w:r>
              <w:rPr>
                <w:rFonts w:hint="eastAsia" w:asciiTheme="minorEastAsia" w:hAnsiTheme="minorEastAsia" w:cstheme="minorEastAsia"/>
                <w:szCs w:val="21"/>
              </w:rPr>
              <w:t>实时智能化识别并精确提示指南要求的9大重大胎儿畸形及25种胎儿中枢神经系统异常。可随时回放整个胎儿扫查过程的全部数据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86" w:type="dxa"/>
            <w:vAlign w:val="center"/>
          </w:tcPr>
          <w:p>
            <w:pPr>
              <w:spacing w:line="480" w:lineRule="atLeast"/>
              <w:jc w:val="center"/>
              <w:rPr>
                <w:rFonts w:asciiTheme="minorEastAsia" w:hAnsiTheme="minorEastAsia" w:cstheme="minorEastAsia"/>
                <w:szCs w:val="21"/>
              </w:rPr>
            </w:pPr>
            <w:r>
              <w:rPr>
                <w:rFonts w:hint="eastAsia" w:asciiTheme="minorEastAsia" w:hAnsiTheme="minorEastAsia" w:cstheme="minorEastAsia"/>
                <w:szCs w:val="21"/>
              </w:rPr>
              <w:t>5</w:t>
            </w:r>
          </w:p>
        </w:tc>
        <w:tc>
          <w:tcPr>
            <w:tcW w:w="1898" w:type="dxa"/>
            <w:vAlign w:val="center"/>
          </w:tcPr>
          <w:p>
            <w:pPr>
              <w:spacing w:line="480" w:lineRule="atLeast"/>
              <w:jc w:val="center"/>
              <w:rPr>
                <w:rFonts w:asciiTheme="minorEastAsia" w:hAnsiTheme="minorEastAsia" w:cstheme="minorEastAsia"/>
                <w:szCs w:val="21"/>
              </w:rPr>
            </w:pPr>
            <w:r>
              <w:rPr>
                <w:rFonts w:hint="eastAsia" w:asciiTheme="minorEastAsia" w:hAnsiTheme="minorEastAsia" w:cstheme="minorEastAsia"/>
                <w:szCs w:val="21"/>
              </w:rPr>
              <w:t>知识图谱功能</w:t>
            </w:r>
          </w:p>
        </w:tc>
        <w:tc>
          <w:tcPr>
            <w:tcW w:w="6525" w:type="dxa"/>
          </w:tcPr>
          <w:p>
            <w:pPr>
              <w:spacing w:line="480" w:lineRule="atLeast"/>
              <w:rPr>
                <w:rFonts w:asciiTheme="minorEastAsia" w:hAnsiTheme="minorEastAsia" w:cstheme="minorEastAsia"/>
                <w:szCs w:val="21"/>
              </w:rPr>
            </w:pPr>
            <w:r>
              <w:rPr>
                <w:rFonts w:hint="eastAsia" w:asciiTheme="minorEastAsia" w:hAnsiTheme="minorEastAsia" w:cstheme="minorEastAsia"/>
                <w:szCs w:val="21"/>
              </w:rPr>
              <w:t>应提供不少于上百种胎儿遗传综合征和宫内感染，致畸药物引起的胎儿多发畸形图文教科、诊断思路引导及产前咨询指引。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86" w:type="dxa"/>
            <w:vAlign w:val="center"/>
          </w:tcPr>
          <w:p>
            <w:pPr>
              <w:spacing w:line="480" w:lineRule="atLeast"/>
              <w:jc w:val="center"/>
              <w:rPr>
                <w:rFonts w:asciiTheme="minorEastAsia" w:hAnsiTheme="minorEastAsia" w:cstheme="minorEastAsia"/>
                <w:szCs w:val="21"/>
              </w:rPr>
            </w:pPr>
            <w:r>
              <w:rPr>
                <w:rFonts w:hint="eastAsia" w:asciiTheme="minorEastAsia" w:hAnsiTheme="minorEastAsia" w:cstheme="minorEastAsia"/>
                <w:szCs w:val="21"/>
              </w:rPr>
              <w:t>6</w:t>
            </w:r>
          </w:p>
        </w:tc>
        <w:tc>
          <w:tcPr>
            <w:tcW w:w="1898" w:type="dxa"/>
            <w:vAlign w:val="center"/>
          </w:tcPr>
          <w:p>
            <w:pPr>
              <w:spacing w:line="480" w:lineRule="atLeast"/>
              <w:jc w:val="center"/>
              <w:rPr>
                <w:rFonts w:asciiTheme="minorEastAsia" w:hAnsiTheme="minorEastAsia" w:cstheme="minorEastAsia"/>
                <w:szCs w:val="21"/>
              </w:rPr>
            </w:pPr>
            <w:r>
              <w:rPr>
                <w:rFonts w:hint="eastAsia" w:asciiTheme="minorEastAsia" w:hAnsiTheme="minorEastAsia" w:cstheme="minorEastAsia"/>
                <w:szCs w:val="21"/>
              </w:rPr>
              <w:t>早孕期NT辅助筛查</w:t>
            </w:r>
          </w:p>
        </w:tc>
        <w:tc>
          <w:tcPr>
            <w:tcW w:w="6525" w:type="dxa"/>
          </w:tcPr>
          <w:p>
            <w:pPr>
              <w:spacing w:line="480" w:lineRule="atLeast"/>
              <w:rPr>
                <w:rFonts w:asciiTheme="minorEastAsia" w:hAnsiTheme="minorEastAsia" w:cstheme="minorEastAsia"/>
                <w:szCs w:val="21"/>
              </w:rPr>
            </w:pPr>
            <w:r>
              <w:rPr>
                <w:rFonts w:hint="eastAsia" w:asciiTheme="minorEastAsia" w:hAnsiTheme="minorEastAsia" w:cstheme="minorEastAsia"/>
                <w:szCs w:val="21"/>
              </w:rPr>
              <w:t>早孕期胎儿颈项透明层（NT）自动识别及自动测量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86" w:type="dxa"/>
            <w:vAlign w:val="center"/>
          </w:tcPr>
          <w:p>
            <w:pPr>
              <w:spacing w:line="480" w:lineRule="atLeast"/>
              <w:jc w:val="center"/>
              <w:rPr>
                <w:rFonts w:asciiTheme="minorEastAsia" w:hAnsiTheme="minorEastAsia" w:cstheme="minorEastAsia"/>
                <w:szCs w:val="21"/>
              </w:rPr>
            </w:pPr>
            <w:r>
              <w:rPr>
                <w:rFonts w:hint="eastAsia" w:asciiTheme="minorEastAsia" w:hAnsiTheme="minorEastAsia" w:cstheme="minorEastAsia"/>
                <w:szCs w:val="21"/>
              </w:rPr>
              <w:t>7</w:t>
            </w:r>
          </w:p>
        </w:tc>
        <w:tc>
          <w:tcPr>
            <w:tcW w:w="1898" w:type="dxa"/>
            <w:vAlign w:val="center"/>
          </w:tcPr>
          <w:p>
            <w:pPr>
              <w:spacing w:line="480" w:lineRule="atLeast"/>
              <w:jc w:val="center"/>
              <w:rPr>
                <w:rFonts w:asciiTheme="minorEastAsia" w:hAnsiTheme="minorEastAsia" w:cstheme="minorEastAsia"/>
                <w:szCs w:val="21"/>
              </w:rPr>
            </w:pPr>
            <w:r>
              <w:rPr>
                <w:rFonts w:hint="eastAsia" w:asciiTheme="minorEastAsia" w:hAnsiTheme="minorEastAsia" w:cstheme="minorEastAsia"/>
                <w:szCs w:val="21"/>
              </w:rPr>
              <w:t>胎儿生长指标自动识别并自动测量</w:t>
            </w:r>
          </w:p>
        </w:tc>
        <w:tc>
          <w:tcPr>
            <w:tcW w:w="6525" w:type="dxa"/>
            <w:vAlign w:val="center"/>
          </w:tcPr>
          <w:p>
            <w:pPr>
              <w:spacing w:line="480" w:lineRule="atLeast"/>
              <w:rPr>
                <w:rFonts w:asciiTheme="minorEastAsia" w:hAnsiTheme="minorEastAsia" w:cstheme="minorEastAsia"/>
                <w:szCs w:val="21"/>
              </w:rPr>
            </w:pPr>
            <w:r>
              <w:rPr>
                <w:rFonts w:hint="eastAsia" w:asciiTheme="minorEastAsia" w:hAnsiTheme="minorEastAsia" w:cstheme="minorEastAsia"/>
                <w:szCs w:val="21"/>
              </w:rPr>
              <w:t>系统可自动识别相应的标准切面，并自动测量临床所需的胎儿双顶径，头围，腹围，股骨及肱骨长度等多个参数，提高工作效率，快速获取评估胎儿生长发育状况的有效指标。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86" w:type="dxa"/>
            <w:vAlign w:val="center"/>
          </w:tcPr>
          <w:p>
            <w:pPr>
              <w:spacing w:line="480" w:lineRule="atLeast"/>
              <w:jc w:val="center"/>
              <w:rPr>
                <w:rFonts w:asciiTheme="minorEastAsia" w:hAnsiTheme="minorEastAsia" w:cstheme="minorEastAsia"/>
                <w:szCs w:val="21"/>
              </w:rPr>
            </w:pPr>
            <w:r>
              <w:rPr>
                <w:rFonts w:hint="eastAsia" w:asciiTheme="minorEastAsia" w:hAnsiTheme="minorEastAsia" w:cstheme="minorEastAsia"/>
                <w:szCs w:val="21"/>
              </w:rPr>
              <w:t>8</w:t>
            </w:r>
          </w:p>
        </w:tc>
        <w:tc>
          <w:tcPr>
            <w:tcW w:w="1898" w:type="dxa"/>
            <w:vAlign w:val="center"/>
          </w:tcPr>
          <w:p>
            <w:pPr>
              <w:spacing w:line="480" w:lineRule="atLeast"/>
              <w:jc w:val="center"/>
              <w:rPr>
                <w:rFonts w:asciiTheme="minorEastAsia" w:hAnsiTheme="minorEastAsia" w:cstheme="minorEastAsia"/>
                <w:szCs w:val="21"/>
              </w:rPr>
            </w:pPr>
            <w:r>
              <w:rPr>
                <w:rFonts w:hint="eastAsia" w:asciiTheme="minorEastAsia" w:hAnsiTheme="minorEastAsia" w:cstheme="minorEastAsia"/>
                <w:szCs w:val="21"/>
              </w:rPr>
              <w:t>早孕和二三级筛查标准切面智能指引，自动识别并捕获</w:t>
            </w:r>
          </w:p>
        </w:tc>
        <w:tc>
          <w:tcPr>
            <w:tcW w:w="6525" w:type="dxa"/>
            <w:vAlign w:val="center"/>
          </w:tcPr>
          <w:p>
            <w:pPr>
              <w:spacing w:line="480" w:lineRule="atLeast"/>
              <w:rPr>
                <w:rFonts w:asciiTheme="minorEastAsia" w:hAnsiTheme="minorEastAsia" w:cstheme="minorEastAsia"/>
                <w:szCs w:val="21"/>
              </w:rPr>
            </w:pPr>
            <w:r>
              <w:rPr>
                <w:rFonts w:hint="eastAsia" w:asciiTheme="minorEastAsia" w:hAnsiTheme="minorEastAsia" w:cstheme="minorEastAsia"/>
                <w:szCs w:val="21"/>
              </w:rPr>
              <w:t>遵循指南，自动识别并捕获12个标准切面，19个二级产前筛查要求的切面，28个三级产前筛查要求的切面，以及相关结构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86" w:type="dxa"/>
            <w:vAlign w:val="center"/>
          </w:tcPr>
          <w:p>
            <w:pPr>
              <w:spacing w:line="480" w:lineRule="atLeast"/>
              <w:jc w:val="center"/>
              <w:rPr>
                <w:rFonts w:asciiTheme="minorEastAsia" w:hAnsiTheme="minorEastAsia" w:cstheme="minorEastAsia"/>
                <w:szCs w:val="21"/>
              </w:rPr>
            </w:pPr>
            <w:r>
              <w:rPr>
                <w:rFonts w:hint="eastAsia" w:asciiTheme="minorEastAsia" w:hAnsiTheme="minorEastAsia" w:cstheme="minorEastAsia"/>
                <w:szCs w:val="21"/>
              </w:rPr>
              <w:t>9</w:t>
            </w:r>
          </w:p>
        </w:tc>
        <w:tc>
          <w:tcPr>
            <w:tcW w:w="1898" w:type="dxa"/>
            <w:vAlign w:val="center"/>
          </w:tcPr>
          <w:p>
            <w:pPr>
              <w:spacing w:line="480" w:lineRule="atLeast"/>
              <w:jc w:val="center"/>
              <w:rPr>
                <w:rFonts w:asciiTheme="minorEastAsia" w:hAnsiTheme="minorEastAsia" w:cstheme="minorEastAsia"/>
                <w:szCs w:val="21"/>
              </w:rPr>
            </w:pPr>
            <w:r>
              <w:rPr>
                <w:rFonts w:hint="eastAsia" w:asciiTheme="minorEastAsia" w:hAnsiTheme="minorEastAsia" w:cstheme="minorEastAsia"/>
                <w:szCs w:val="21"/>
              </w:rPr>
              <w:t>智能视频导出</w:t>
            </w:r>
          </w:p>
        </w:tc>
        <w:tc>
          <w:tcPr>
            <w:tcW w:w="6525" w:type="dxa"/>
            <w:vAlign w:val="center"/>
          </w:tcPr>
          <w:p>
            <w:pPr>
              <w:spacing w:line="480" w:lineRule="atLeast"/>
              <w:rPr>
                <w:rFonts w:asciiTheme="minorEastAsia" w:hAnsiTheme="minorEastAsia" w:cstheme="minorEastAsia"/>
                <w:szCs w:val="21"/>
              </w:rPr>
            </w:pPr>
            <w:r>
              <w:rPr>
                <w:rFonts w:hint="eastAsia" w:asciiTheme="minorEastAsia" w:hAnsiTheme="minorEastAsia" w:cstheme="minorEastAsia"/>
                <w:szCs w:val="21"/>
              </w:rPr>
              <w:t>自动裁剪、定位视频片段（标准切面片段/病例片段），自动文件夹命名智能导出，无需过多的操作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86" w:type="dxa"/>
            <w:vAlign w:val="center"/>
          </w:tcPr>
          <w:p>
            <w:pPr>
              <w:spacing w:line="480" w:lineRule="atLeast"/>
              <w:jc w:val="center"/>
              <w:rPr>
                <w:rFonts w:asciiTheme="minorEastAsia" w:hAnsiTheme="minorEastAsia" w:cstheme="minorEastAsia"/>
                <w:szCs w:val="21"/>
              </w:rPr>
            </w:pPr>
            <w:r>
              <w:rPr>
                <w:rFonts w:hint="eastAsia" w:asciiTheme="minorEastAsia" w:hAnsiTheme="minorEastAsia" w:cstheme="minorEastAsia"/>
                <w:szCs w:val="21"/>
              </w:rPr>
              <w:t>10</w:t>
            </w:r>
          </w:p>
        </w:tc>
        <w:tc>
          <w:tcPr>
            <w:tcW w:w="1898" w:type="dxa"/>
            <w:vAlign w:val="center"/>
          </w:tcPr>
          <w:p>
            <w:pPr>
              <w:spacing w:line="480" w:lineRule="atLeast"/>
              <w:jc w:val="center"/>
              <w:rPr>
                <w:rFonts w:asciiTheme="minorEastAsia" w:hAnsiTheme="minorEastAsia" w:cstheme="minorEastAsia"/>
                <w:szCs w:val="21"/>
              </w:rPr>
            </w:pPr>
            <w:r>
              <w:rPr>
                <w:rFonts w:hint="eastAsia" w:asciiTheme="minorEastAsia" w:hAnsiTheme="minorEastAsia" w:cstheme="minorEastAsia"/>
                <w:szCs w:val="21"/>
              </w:rPr>
              <w:t>标签功能</w:t>
            </w:r>
          </w:p>
        </w:tc>
        <w:tc>
          <w:tcPr>
            <w:tcW w:w="6525" w:type="dxa"/>
            <w:vAlign w:val="center"/>
          </w:tcPr>
          <w:p>
            <w:pPr>
              <w:spacing w:line="480" w:lineRule="atLeast"/>
              <w:rPr>
                <w:rFonts w:asciiTheme="minorEastAsia" w:hAnsiTheme="minorEastAsia" w:cstheme="minorEastAsia"/>
                <w:szCs w:val="21"/>
              </w:rPr>
            </w:pPr>
            <w:r>
              <w:rPr>
                <w:rFonts w:hint="eastAsia" w:asciiTheme="minorEastAsia" w:hAnsiTheme="minorEastAsia" w:cstheme="minorEastAsia"/>
                <w:szCs w:val="21"/>
              </w:rPr>
              <w:t>快速标注信息，方便病例续接识别，中文标注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86" w:type="dxa"/>
            <w:vAlign w:val="center"/>
          </w:tcPr>
          <w:p>
            <w:pPr>
              <w:spacing w:line="480" w:lineRule="atLeast"/>
              <w:jc w:val="center"/>
              <w:rPr>
                <w:rFonts w:asciiTheme="minorEastAsia" w:hAnsiTheme="minorEastAsia" w:cstheme="minorEastAsia"/>
                <w:szCs w:val="21"/>
              </w:rPr>
            </w:pPr>
            <w:r>
              <w:rPr>
                <w:rFonts w:hint="eastAsia" w:asciiTheme="minorEastAsia" w:hAnsiTheme="minorEastAsia" w:cstheme="minorEastAsia"/>
                <w:szCs w:val="21"/>
              </w:rPr>
              <w:t>11</w:t>
            </w:r>
          </w:p>
        </w:tc>
        <w:tc>
          <w:tcPr>
            <w:tcW w:w="1898" w:type="dxa"/>
            <w:vAlign w:val="center"/>
          </w:tcPr>
          <w:p>
            <w:pPr>
              <w:spacing w:line="480" w:lineRule="atLeast"/>
              <w:jc w:val="center"/>
              <w:rPr>
                <w:rFonts w:asciiTheme="minorEastAsia" w:hAnsiTheme="minorEastAsia" w:cstheme="minorEastAsia"/>
                <w:szCs w:val="21"/>
              </w:rPr>
            </w:pPr>
            <w:r>
              <w:rPr>
                <w:rFonts w:hint="eastAsia" w:asciiTheme="minorEastAsia" w:hAnsiTheme="minorEastAsia" w:cstheme="minorEastAsia"/>
                <w:szCs w:val="21"/>
              </w:rPr>
              <w:t xml:space="preserve">影像处理 </w:t>
            </w:r>
          </w:p>
          <w:p>
            <w:pPr>
              <w:spacing w:line="480" w:lineRule="atLeast"/>
              <w:jc w:val="center"/>
              <w:rPr>
                <w:rFonts w:asciiTheme="minorEastAsia" w:hAnsiTheme="minorEastAsia" w:cstheme="minorEastAsia"/>
                <w:szCs w:val="21"/>
              </w:rPr>
            </w:pPr>
          </w:p>
        </w:tc>
        <w:tc>
          <w:tcPr>
            <w:tcW w:w="6525" w:type="dxa"/>
            <w:vAlign w:val="center"/>
          </w:tcPr>
          <w:p>
            <w:pPr>
              <w:spacing w:line="480" w:lineRule="atLeast"/>
              <w:rPr>
                <w:rFonts w:asciiTheme="minorEastAsia" w:hAnsiTheme="minorEastAsia" w:cstheme="minorEastAsia"/>
                <w:szCs w:val="21"/>
              </w:rPr>
            </w:pPr>
            <w:r>
              <w:rPr>
                <w:rFonts w:hint="eastAsia" w:asciiTheme="minorEastAsia" w:hAnsiTheme="minorEastAsia" w:cstheme="minorEastAsia"/>
                <w:szCs w:val="21"/>
              </w:rPr>
              <w:t xml:space="preserve">(1)历史病例：按日期检索，浏览存储在本地的病例影像 </w:t>
            </w:r>
          </w:p>
          <w:p>
            <w:pPr>
              <w:spacing w:line="480" w:lineRule="atLeast"/>
              <w:rPr>
                <w:rFonts w:asciiTheme="minorEastAsia" w:hAnsiTheme="minorEastAsia" w:cstheme="minorEastAsia"/>
                <w:szCs w:val="21"/>
              </w:rPr>
            </w:pPr>
            <w:r>
              <w:rPr>
                <w:rFonts w:hint="eastAsia" w:asciiTheme="minorEastAsia" w:hAnsiTheme="minorEastAsia" w:cstheme="minorEastAsia"/>
                <w:szCs w:val="21"/>
              </w:rPr>
              <w:t xml:space="preserve">(2)历史截图：按日期检索，浏览存储在本地的病例截图 </w:t>
            </w:r>
          </w:p>
          <w:p>
            <w:pPr>
              <w:spacing w:line="480" w:lineRule="atLeast"/>
              <w:rPr>
                <w:rFonts w:asciiTheme="minorEastAsia" w:hAnsiTheme="minorEastAsia" w:cstheme="minorEastAsia"/>
                <w:szCs w:val="21"/>
              </w:rPr>
            </w:pPr>
            <w:r>
              <w:rPr>
                <w:rFonts w:hint="eastAsia" w:asciiTheme="minorEastAsia" w:hAnsiTheme="minorEastAsia" w:cstheme="minorEastAsia"/>
                <w:szCs w:val="21"/>
              </w:rPr>
              <w:t xml:space="preserve">(3)检查模式选择：可选择单胎/多胎/续接三种模式进行检查 </w:t>
            </w:r>
          </w:p>
          <w:p>
            <w:pPr>
              <w:spacing w:line="480" w:lineRule="atLeast"/>
              <w:rPr>
                <w:rFonts w:asciiTheme="minorEastAsia" w:hAnsiTheme="minorEastAsia" w:cstheme="minorEastAsia"/>
                <w:szCs w:val="21"/>
              </w:rPr>
            </w:pPr>
            <w:r>
              <w:rPr>
                <w:rFonts w:hint="eastAsia" w:asciiTheme="minorEastAsia" w:hAnsiTheme="minorEastAsia" w:cstheme="minorEastAsia"/>
                <w:szCs w:val="21"/>
              </w:rPr>
              <w:t xml:space="preserve">(4)孕期筛查选择：可选择早孕/中孕/晚孕三种孕期进行检查 </w:t>
            </w:r>
          </w:p>
          <w:p>
            <w:pPr>
              <w:spacing w:line="480" w:lineRule="atLeast"/>
              <w:rPr>
                <w:rFonts w:asciiTheme="minorEastAsia" w:hAnsiTheme="minorEastAsia" w:cstheme="minorEastAsia"/>
                <w:szCs w:val="21"/>
              </w:rPr>
            </w:pPr>
            <w:r>
              <w:rPr>
                <w:rFonts w:hint="eastAsia" w:asciiTheme="minorEastAsia" w:hAnsiTheme="minorEastAsia" w:cstheme="minorEastAsia"/>
                <w:szCs w:val="21"/>
              </w:rPr>
              <w:t xml:space="preserve">(5)实时影像模式：应能播放/暂停影像，检查部位示意图，检查 持续时间，切面引导内容 </w:t>
            </w:r>
          </w:p>
          <w:p>
            <w:pPr>
              <w:spacing w:line="480" w:lineRule="atLeast"/>
              <w:rPr>
                <w:rFonts w:asciiTheme="minorEastAsia" w:hAnsiTheme="minorEastAsia" w:cstheme="minorEastAsia"/>
                <w:szCs w:val="21"/>
              </w:rPr>
            </w:pPr>
            <w:r>
              <w:rPr>
                <w:rFonts w:hint="eastAsia" w:asciiTheme="minorEastAsia" w:hAnsiTheme="minorEastAsia" w:cstheme="minorEastAsia"/>
                <w:szCs w:val="21"/>
              </w:rPr>
              <w:t xml:space="preserve">(6)回放影像模式：应能对影像进行播放/暂停，快进，快退，上 一节/下一节，播放倍速控制，播放进度控制，检查部位示意图，影像时长，切面引导汇总，检出特征 </w:t>
            </w:r>
          </w:p>
          <w:p>
            <w:pPr>
              <w:spacing w:line="480" w:lineRule="atLeast"/>
              <w:rPr>
                <w:rFonts w:asciiTheme="minorEastAsia" w:hAnsiTheme="minorEastAsia" w:cstheme="minorEastAsia"/>
                <w:szCs w:val="21"/>
              </w:rPr>
            </w:pPr>
            <w:r>
              <w:rPr>
                <w:rFonts w:hint="eastAsia" w:asciiTheme="minorEastAsia" w:hAnsiTheme="minorEastAsia" w:cstheme="minorEastAsia"/>
                <w:szCs w:val="21"/>
              </w:rPr>
              <w:t xml:space="preserve">(7)回放目录：回放项目数量，已检项目/未检项目 </w:t>
            </w:r>
          </w:p>
          <w:p>
            <w:pPr>
              <w:spacing w:line="480" w:lineRule="atLeast"/>
              <w:rPr>
                <w:rFonts w:asciiTheme="minorEastAsia" w:hAnsiTheme="minorEastAsia" w:cstheme="minorEastAsia"/>
                <w:szCs w:val="21"/>
              </w:rPr>
            </w:pPr>
            <w:r>
              <w:rPr>
                <w:rFonts w:hint="eastAsia" w:asciiTheme="minorEastAsia" w:hAnsiTheme="minorEastAsia" w:cstheme="minorEastAsia"/>
                <w:szCs w:val="21"/>
              </w:rPr>
              <w:t xml:space="preserve">(8)截图功能：点击一键截图或双指双击屏幕截图 </w:t>
            </w:r>
          </w:p>
          <w:p>
            <w:pPr>
              <w:spacing w:line="480" w:lineRule="atLeast"/>
              <w:rPr>
                <w:rFonts w:asciiTheme="minorEastAsia" w:hAnsiTheme="minorEastAsia" w:cstheme="minorEastAsia"/>
                <w:szCs w:val="21"/>
              </w:rPr>
            </w:pPr>
            <w:r>
              <w:rPr>
                <w:rFonts w:hint="eastAsia" w:asciiTheme="minorEastAsia" w:hAnsiTheme="minorEastAsia" w:cstheme="minorEastAsia"/>
                <w:szCs w:val="21"/>
              </w:rPr>
              <w:t xml:space="preserve">(9)操作设置：账号设置，布局设置，声音设置 </w:t>
            </w:r>
          </w:p>
          <w:p>
            <w:pPr>
              <w:spacing w:line="480" w:lineRule="atLeast"/>
              <w:rPr>
                <w:rFonts w:asciiTheme="minorEastAsia" w:hAnsiTheme="minorEastAsia" w:cstheme="minorEastAsia"/>
                <w:szCs w:val="21"/>
              </w:rPr>
            </w:pPr>
            <w:r>
              <w:rPr>
                <w:rFonts w:hint="eastAsia" w:asciiTheme="minorEastAsia" w:hAnsiTheme="minorEastAsia" w:cstheme="minorEastAsia"/>
                <w:szCs w:val="21"/>
              </w:rPr>
              <w:t xml:space="preserve">(10)检查信息汇总：检查时长，已检项目/未检项目，待续接标记 </w:t>
            </w:r>
          </w:p>
          <w:p>
            <w:pPr>
              <w:spacing w:line="480" w:lineRule="atLeast"/>
              <w:rPr>
                <w:rFonts w:asciiTheme="minorEastAsia" w:hAnsiTheme="minorEastAsia" w:cstheme="minorEastAsia"/>
                <w:szCs w:val="21"/>
              </w:rPr>
            </w:pPr>
            <w:r>
              <w:rPr>
                <w:rFonts w:hint="eastAsia" w:asciiTheme="minorEastAsia" w:hAnsiTheme="minorEastAsia" w:cstheme="minorEastAsia"/>
                <w:szCs w:val="21"/>
              </w:rPr>
              <w:t xml:space="preserve">(11)重置检查：重置当前检查 </w:t>
            </w:r>
          </w:p>
          <w:p>
            <w:pPr>
              <w:spacing w:line="480" w:lineRule="atLeast"/>
              <w:rPr>
                <w:rFonts w:asciiTheme="minorEastAsia" w:hAnsiTheme="minorEastAsia" w:cstheme="minorEastAsia"/>
                <w:szCs w:val="21"/>
              </w:rPr>
            </w:pPr>
            <w:r>
              <w:rPr>
                <w:rFonts w:hint="eastAsia" w:asciiTheme="minorEastAsia" w:hAnsiTheme="minorEastAsia" w:cstheme="minorEastAsia"/>
                <w:szCs w:val="21"/>
              </w:rPr>
              <w:t xml:space="preserve">(12)多胎画中画：多胎检查更方便，可实时切换检查不同胎儿 </w:t>
            </w:r>
          </w:p>
          <w:p>
            <w:pPr>
              <w:spacing w:line="480" w:lineRule="atLeast"/>
              <w:rPr>
                <w:rFonts w:asciiTheme="minorEastAsia" w:hAnsiTheme="minorEastAsia" w:cstheme="minorEastAsia"/>
                <w:szCs w:val="21"/>
              </w:rPr>
            </w:pPr>
            <w:r>
              <w:rPr>
                <w:rFonts w:hint="eastAsia" w:asciiTheme="minorEastAsia" w:hAnsiTheme="minorEastAsia" w:cstheme="minorEastAsia"/>
                <w:szCs w:val="21"/>
              </w:rPr>
              <w:t>(13)检查级别：产筛级别，分别是一二三级、国家级产筛检查</w:t>
            </w:r>
          </w:p>
          <w:p>
            <w:pPr>
              <w:spacing w:line="480" w:lineRule="atLeast"/>
              <w:rPr>
                <w:rFonts w:asciiTheme="minorEastAsia" w:hAnsiTheme="minorEastAsia" w:cstheme="minorEastAsia"/>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86" w:type="dxa"/>
            <w:vAlign w:val="center"/>
          </w:tcPr>
          <w:p>
            <w:pPr>
              <w:spacing w:line="480" w:lineRule="atLeast"/>
              <w:jc w:val="center"/>
              <w:rPr>
                <w:rFonts w:asciiTheme="minorEastAsia" w:hAnsiTheme="minorEastAsia" w:cstheme="minorEastAsia"/>
                <w:szCs w:val="21"/>
              </w:rPr>
            </w:pPr>
            <w:r>
              <w:rPr>
                <w:rFonts w:hint="eastAsia" w:asciiTheme="minorEastAsia" w:hAnsiTheme="minorEastAsia" w:cstheme="minorEastAsia"/>
                <w:szCs w:val="21"/>
              </w:rPr>
              <w:t>12</w:t>
            </w:r>
          </w:p>
        </w:tc>
        <w:tc>
          <w:tcPr>
            <w:tcW w:w="1898" w:type="dxa"/>
            <w:vAlign w:val="center"/>
          </w:tcPr>
          <w:p>
            <w:pPr>
              <w:spacing w:line="480" w:lineRule="atLeast"/>
              <w:jc w:val="center"/>
              <w:rPr>
                <w:rFonts w:asciiTheme="minorEastAsia" w:hAnsiTheme="minorEastAsia" w:cstheme="minorEastAsia"/>
                <w:szCs w:val="21"/>
              </w:rPr>
            </w:pPr>
            <w:r>
              <w:rPr>
                <w:rFonts w:hint="eastAsia" w:asciiTheme="minorEastAsia" w:hAnsiTheme="minorEastAsia" w:cstheme="minorEastAsia"/>
                <w:szCs w:val="21"/>
              </w:rPr>
              <w:t>质控管理</w:t>
            </w:r>
          </w:p>
        </w:tc>
        <w:tc>
          <w:tcPr>
            <w:tcW w:w="6525" w:type="dxa"/>
            <w:vAlign w:val="center"/>
          </w:tcPr>
          <w:p>
            <w:pPr>
              <w:spacing w:line="480" w:lineRule="atLeast"/>
              <w:rPr>
                <w:rFonts w:asciiTheme="minorEastAsia" w:hAnsiTheme="minorEastAsia" w:cstheme="minorEastAsia"/>
                <w:szCs w:val="21"/>
              </w:rPr>
            </w:pPr>
            <w:r>
              <w:rPr>
                <w:rFonts w:hint="eastAsia" w:asciiTheme="minorEastAsia" w:hAnsiTheme="minorEastAsia" w:cstheme="minorEastAsia"/>
                <w:szCs w:val="21"/>
              </w:rPr>
              <w:t>（1）单人质控：“前瞻性质控”+“回顾性质控”，以及“动态操作质控”+“静态留图评分”的全方面质控模式。实时分析时候的同步AI辅助，前瞻性质控和动态操作质控。</w:t>
            </w:r>
          </w:p>
          <w:p>
            <w:pPr>
              <w:spacing w:line="480" w:lineRule="atLeast"/>
              <w:rPr>
                <w:rFonts w:asciiTheme="minorEastAsia" w:hAnsiTheme="minorEastAsia" w:cstheme="minorEastAsia"/>
                <w:szCs w:val="21"/>
              </w:rPr>
            </w:pPr>
            <w:r>
              <w:rPr>
                <w:rFonts w:hint="eastAsia" w:asciiTheme="minorEastAsia" w:hAnsiTheme="minorEastAsia" w:cstheme="minorEastAsia"/>
                <w:szCs w:val="21"/>
              </w:rPr>
              <w:t>（2）多人指控：全量化评分，自动生成全科或者多人的质控结果；表格或者柱状图呈现多人成绩及分布，直观，方便查看。并可详细查看每个人的详细信息，包含切面、AI评分情况等，亦可编辑，生成报告，打印或存档。</w:t>
            </w:r>
          </w:p>
          <w:p>
            <w:pPr>
              <w:spacing w:line="480" w:lineRule="atLeast"/>
              <w:rPr>
                <w:rFonts w:asciiTheme="minorEastAsia" w:hAnsiTheme="minorEastAsia" w:cstheme="minorEastAsia"/>
                <w:szCs w:val="21"/>
              </w:rPr>
            </w:pPr>
            <w:r>
              <w:rPr>
                <w:rFonts w:hint="eastAsia" w:asciiTheme="minorEastAsia" w:hAnsiTheme="minorEastAsia" w:cstheme="minorEastAsia"/>
                <w:szCs w:val="21"/>
              </w:rPr>
              <w:t>（3）质控报告：三种质控报告模板自动输出，满足医生不同需求(Word方便编辑；PDF满足高清打印；Excel用于科研统计等。) 自动生成文件名称，包含医生、日期等信息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86" w:type="dxa"/>
            <w:vAlign w:val="center"/>
          </w:tcPr>
          <w:p>
            <w:pPr>
              <w:spacing w:line="480" w:lineRule="atLeast"/>
              <w:jc w:val="center"/>
              <w:rPr>
                <w:rFonts w:asciiTheme="minorEastAsia" w:hAnsiTheme="minorEastAsia" w:cstheme="minorEastAsia"/>
                <w:szCs w:val="21"/>
              </w:rPr>
            </w:pPr>
            <w:r>
              <w:rPr>
                <w:rFonts w:hint="eastAsia" w:asciiTheme="minorEastAsia" w:hAnsiTheme="minorEastAsia" w:cstheme="minorEastAsia"/>
                <w:szCs w:val="21"/>
              </w:rPr>
              <w:t>1</w:t>
            </w:r>
            <w:r>
              <w:rPr>
                <w:rFonts w:asciiTheme="minorEastAsia" w:hAnsiTheme="minorEastAsia" w:cstheme="minorEastAsia"/>
                <w:szCs w:val="21"/>
              </w:rPr>
              <w:t>3</w:t>
            </w:r>
          </w:p>
        </w:tc>
        <w:tc>
          <w:tcPr>
            <w:tcW w:w="1898" w:type="dxa"/>
            <w:vAlign w:val="center"/>
          </w:tcPr>
          <w:p>
            <w:pPr>
              <w:spacing w:line="480" w:lineRule="atLeast"/>
              <w:jc w:val="center"/>
              <w:rPr>
                <w:rFonts w:asciiTheme="minorEastAsia" w:hAnsiTheme="minorEastAsia" w:cstheme="minorEastAsia"/>
                <w:szCs w:val="21"/>
              </w:rPr>
            </w:pPr>
            <w:r>
              <w:rPr>
                <w:rFonts w:hint="eastAsia" w:asciiTheme="minorEastAsia" w:hAnsiTheme="minorEastAsia" w:cstheme="minorEastAsia"/>
                <w:szCs w:val="21"/>
              </w:rPr>
              <w:t>产筛超声规培考核系统</w:t>
            </w:r>
          </w:p>
        </w:tc>
        <w:tc>
          <w:tcPr>
            <w:tcW w:w="6525" w:type="dxa"/>
            <w:vAlign w:val="center"/>
          </w:tcPr>
          <w:p>
            <w:pPr>
              <w:pStyle w:val="2"/>
              <w:ind w:firstLine="0" w:firstLineChars="0"/>
              <w:jc w:val="left"/>
            </w:pPr>
            <w:r>
              <w:rPr>
                <w:rFonts w:hint="eastAsia"/>
              </w:rPr>
              <w:t>1.规培医生出科考核可实现智能化标准化评分，且针对扣分点有详细标注便于评分及复习</w:t>
            </w:r>
          </w:p>
          <w:p>
            <w:pPr>
              <w:pStyle w:val="2"/>
              <w:ind w:firstLine="0" w:firstLineChars="0"/>
              <w:jc w:val="left"/>
            </w:pPr>
            <w:r>
              <w:rPr>
                <w:rFonts w:hint="eastAsia"/>
              </w:rPr>
              <w:t>2.针对不同医生水平可实现统一考核标准，考核结果为具体分数，有明确的合格标准</w:t>
            </w:r>
          </w:p>
          <w:p>
            <w:pPr>
              <w:pStyle w:val="2"/>
              <w:ind w:firstLine="0" w:firstLineChars="0"/>
              <w:jc w:val="left"/>
              <w:rPr>
                <w:rFonts w:asciiTheme="minorEastAsia" w:hAnsiTheme="minorEastAsia" w:cstheme="minorEastAsia"/>
                <w:szCs w:val="21"/>
              </w:rPr>
            </w:pPr>
            <w:r>
              <w:rPr>
                <w:rFonts w:hint="eastAsia"/>
              </w:rPr>
              <w:t>3.同一考生可多次考试并记录成绩变化曲线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86" w:type="dxa"/>
            <w:vAlign w:val="center"/>
          </w:tcPr>
          <w:p>
            <w:pPr>
              <w:spacing w:line="480" w:lineRule="atLeast"/>
              <w:jc w:val="center"/>
              <w:rPr>
                <w:rFonts w:asciiTheme="minorEastAsia" w:hAnsiTheme="minorEastAsia" w:cstheme="minorEastAsia"/>
                <w:szCs w:val="21"/>
              </w:rPr>
            </w:pPr>
            <w:r>
              <w:rPr>
                <w:rFonts w:hint="eastAsia" w:asciiTheme="minorEastAsia" w:hAnsiTheme="minorEastAsia" w:cstheme="minorEastAsia"/>
                <w:szCs w:val="21"/>
              </w:rPr>
              <w:t>1</w:t>
            </w:r>
            <w:r>
              <w:rPr>
                <w:rFonts w:asciiTheme="minorEastAsia" w:hAnsiTheme="minorEastAsia" w:cstheme="minorEastAsia"/>
                <w:szCs w:val="21"/>
              </w:rPr>
              <w:t>4</w:t>
            </w:r>
          </w:p>
        </w:tc>
        <w:tc>
          <w:tcPr>
            <w:tcW w:w="1898" w:type="dxa"/>
            <w:vAlign w:val="center"/>
          </w:tcPr>
          <w:p>
            <w:pPr>
              <w:spacing w:line="480" w:lineRule="atLeast"/>
              <w:jc w:val="center"/>
              <w:rPr>
                <w:rFonts w:asciiTheme="minorEastAsia" w:hAnsiTheme="minorEastAsia" w:cstheme="minorEastAsia"/>
                <w:szCs w:val="21"/>
              </w:rPr>
            </w:pPr>
            <w:r>
              <w:rPr>
                <w:rFonts w:hint="eastAsia" w:asciiTheme="minorEastAsia" w:hAnsiTheme="minorEastAsia" w:cstheme="minorEastAsia"/>
                <w:szCs w:val="21"/>
              </w:rPr>
              <w:t>统计</w:t>
            </w:r>
            <w:r>
              <w:rPr>
                <w:rFonts w:asciiTheme="minorEastAsia" w:hAnsiTheme="minorEastAsia" w:cstheme="minorEastAsia"/>
                <w:szCs w:val="21"/>
              </w:rPr>
              <w:t>管理模块</w:t>
            </w:r>
          </w:p>
        </w:tc>
        <w:tc>
          <w:tcPr>
            <w:tcW w:w="6525" w:type="dxa"/>
            <w:vAlign w:val="center"/>
          </w:tcPr>
          <w:p>
            <w:pPr>
              <w:pStyle w:val="2"/>
              <w:ind w:firstLine="0" w:firstLineChars="0"/>
              <w:jc w:val="left"/>
            </w:pPr>
            <w:r>
              <w:rPr>
                <w:rFonts w:hint="eastAsia"/>
              </w:rPr>
              <w:t>正确率</w:t>
            </w:r>
            <w:r>
              <w:t>、及时率等</w:t>
            </w:r>
            <w:r>
              <w:rPr>
                <w:rFonts w:hint="eastAsia"/>
              </w:rPr>
              <w:t>涉及</w:t>
            </w:r>
            <w:r>
              <w:t>国家</w:t>
            </w:r>
            <w:r>
              <w:rPr>
                <w:rFonts w:hint="eastAsia"/>
              </w:rPr>
              <w:t>政策</w:t>
            </w:r>
            <w:r>
              <w:t>和科室需求的统</w:t>
            </w:r>
            <w:r>
              <w:rPr>
                <w:rFonts w:hint="eastAsia"/>
              </w:rPr>
              <w:t>计</w:t>
            </w:r>
            <w:r>
              <w:t>模块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86" w:type="dxa"/>
            <w:vAlign w:val="center"/>
          </w:tcPr>
          <w:p>
            <w:pPr>
              <w:spacing w:line="480" w:lineRule="atLeast"/>
              <w:jc w:val="center"/>
              <w:rPr>
                <w:rFonts w:asciiTheme="minorEastAsia" w:hAnsiTheme="minorEastAsia" w:cstheme="minorEastAsia"/>
                <w:szCs w:val="21"/>
              </w:rPr>
            </w:pPr>
            <w:r>
              <w:rPr>
                <w:rFonts w:hint="eastAsia" w:asciiTheme="minorEastAsia" w:hAnsiTheme="minorEastAsia" w:cstheme="minorEastAsia"/>
                <w:szCs w:val="21"/>
              </w:rPr>
              <w:t>1</w:t>
            </w:r>
            <w:r>
              <w:rPr>
                <w:rFonts w:asciiTheme="minorEastAsia" w:hAnsiTheme="minorEastAsia" w:cstheme="minorEastAsia"/>
                <w:szCs w:val="21"/>
              </w:rPr>
              <w:t>5</w:t>
            </w:r>
          </w:p>
        </w:tc>
        <w:tc>
          <w:tcPr>
            <w:tcW w:w="1898" w:type="dxa"/>
            <w:vAlign w:val="center"/>
          </w:tcPr>
          <w:p>
            <w:pPr>
              <w:spacing w:line="480" w:lineRule="atLeast"/>
              <w:jc w:val="center"/>
              <w:rPr>
                <w:rFonts w:asciiTheme="minorEastAsia" w:hAnsiTheme="minorEastAsia" w:cstheme="minorEastAsia"/>
                <w:szCs w:val="21"/>
              </w:rPr>
            </w:pPr>
            <w:r>
              <w:rPr>
                <w:rFonts w:hint="eastAsia"/>
                <w:b/>
                <w:bCs/>
                <w:lang w:bidi="ar"/>
              </w:rPr>
              <w:t>第三方系统接口</w:t>
            </w:r>
          </w:p>
        </w:tc>
        <w:tc>
          <w:tcPr>
            <w:tcW w:w="6525" w:type="dxa"/>
            <w:vAlign w:val="center"/>
          </w:tcPr>
          <w:p>
            <w:pPr>
              <w:pStyle w:val="2"/>
              <w:ind w:firstLine="0" w:firstLineChars="0"/>
              <w:jc w:val="left"/>
            </w:pPr>
            <w:r>
              <w:rPr>
                <w:rFonts w:hint="eastAsia"/>
              </w:rPr>
              <w:t>院内</w:t>
            </w:r>
            <w:r>
              <w:t>PACS、</w:t>
            </w:r>
            <w:r>
              <w:rPr>
                <w:rFonts w:hint="eastAsia"/>
              </w:rPr>
              <w:t>视频</w:t>
            </w:r>
            <w:r>
              <w:t>采集</w:t>
            </w:r>
            <w:r>
              <w:rPr>
                <w:rFonts w:hint="eastAsia"/>
              </w:rPr>
              <w:t>等</w:t>
            </w:r>
            <w:r>
              <w:t>接口</w:t>
            </w:r>
            <w:r>
              <w:rPr>
                <w:rFonts w:hint="eastAsia"/>
              </w:rPr>
              <w:t>对接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86" w:type="dxa"/>
            <w:vAlign w:val="center"/>
          </w:tcPr>
          <w:p>
            <w:pPr>
              <w:spacing w:line="480" w:lineRule="atLeast"/>
              <w:jc w:val="center"/>
              <w:rPr>
                <w:rFonts w:asciiTheme="minorEastAsia" w:hAnsiTheme="minorEastAsia" w:cstheme="minorEastAsia"/>
                <w:szCs w:val="21"/>
              </w:rPr>
            </w:pPr>
            <w:r>
              <w:rPr>
                <w:rFonts w:hint="eastAsia" w:asciiTheme="minorEastAsia" w:hAnsiTheme="minorEastAsia" w:cstheme="minorEastAsia"/>
                <w:szCs w:val="21"/>
              </w:rPr>
              <w:t>1</w:t>
            </w:r>
            <w:r>
              <w:rPr>
                <w:rFonts w:asciiTheme="minorEastAsia" w:hAnsiTheme="minorEastAsia" w:cstheme="minorEastAsia"/>
                <w:szCs w:val="21"/>
              </w:rPr>
              <w:t>6</w:t>
            </w:r>
          </w:p>
        </w:tc>
        <w:tc>
          <w:tcPr>
            <w:tcW w:w="1898" w:type="dxa"/>
            <w:vAlign w:val="center"/>
          </w:tcPr>
          <w:p>
            <w:pPr>
              <w:spacing w:line="480" w:lineRule="atLeast"/>
              <w:jc w:val="center"/>
              <w:rPr>
                <w:b/>
                <w:bCs/>
                <w:lang w:bidi="ar"/>
              </w:rPr>
            </w:pPr>
            <w:r>
              <w:rPr>
                <w:rFonts w:hint="eastAsia"/>
                <w:b/>
                <w:bCs/>
                <w:lang w:bidi="ar"/>
              </w:rPr>
              <w:t>硬件</w:t>
            </w:r>
            <w:r>
              <w:rPr>
                <w:b/>
                <w:bCs/>
                <w:lang w:bidi="ar"/>
              </w:rPr>
              <w:t>需求</w:t>
            </w:r>
          </w:p>
        </w:tc>
        <w:tc>
          <w:tcPr>
            <w:tcW w:w="6525" w:type="dxa"/>
            <w:vAlign w:val="center"/>
          </w:tcPr>
          <w:p>
            <w:pPr>
              <w:pStyle w:val="2"/>
              <w:ind w:firstLine="0" w:firstLineChars="0"/>
              <w:jc w:val="left"/>
            </w:pPr>
            <w:r>
              <w:rPr>
                <w:rFonts w:hint="eastAsia"/>
              </w:rPr>
              <w:t>提供</w:t>
            </w:r>
            <w:r>
              <w:t>系统相应的硬件</w:t>
            </w:r>
            <w:r>
              <w:rPr>
                <w:rFonts w:hint="eastAsia"/>
              </w:rPr>
              <w:t>设备</w:t>
            </w:r>
          </w:p>
        </w:tc>
      </w:tr>
    </w:tbl>
    <w:p/>
    <w:p/>
    <w:p/>
    <w:p>
      <w:pPr>
        <w:pStyle w:val="3"/>
        <w:numPr>
          <w:ilvl w:val="0"/>
          <w:numId w:val="7"/>
        </w:numPr>
        <w:rPr>
          <w:sz w:val="28"/>
          <w:szCs w:val="18"/>
        </w:rPr>
      </w:pPr>
      <w:r>
        <w:rPr>
          <w:rFonts w:hint="eastAsia"/>
          <w:sz w:val="28"/>
          <w:szCs w:val="18"/>
        </w:rPr>
        <w:t>服务要求</w:t>
      </w:r>
    </w:p>
    <w:p>
      <w:pPr>
        <w:pStyle w:val="4"/>
        <w:numPr>
          <w:ilvl w:val="1"/>
          <w:numId w:val="7"/>
        </w:numPr>
        <w:jc w:val="left"/>
        <w:rPr>
          <w:sz w:val="24"/>
          <w:szCs w:val="21"/>
        </w:rPr>
      </w:pPr>
      <w:r>
        <w:rPr>
          <w:rFonts w:hint="eastAsia"/>
          <w:sz w:val="24"/>
          <w:szCs w:val="21"/>
        </w:rPr>
        <w:t>项目实施要求</w:t>
      </w:r>
    </w:p>
    <w:p>
      <w:pPr>
        <w:spacing w:after="160" w:line="360" w:lineRule="auto"/>
        <w:rPr>
          <w:rFonts w:ascii="宋体" w:hAnsi="宋体" w:eastAsia="宋体" w:cs="宋体"/>
          <w:b/>
          <w:bCs/>
          <w:sz w:val="24"/>
        </w:rPr>
      </w:pPr>
      <w:r>
        <w:rPr>
          <w:rFonts w:hint="eastAsia" w:ascii="宋体" w:hAnsi="宋体" w:eastAsia="宋体" w:cs="宋体"/>
          <w:b/>
          <w:bCs/>
          <w:sz w:val="24"/>
        </w:rPr>
        <w:t>项目进度要求</w:t>
      </w:r>
    </w:p>
    <w:p>
      <w:pPr>
        <w:spacing w:after="160" w:line="360" w:lineRule="auto"/>
        <w:rPr>
          <w:rFonts w:ascii="宋体" w:hAnsi="宋体" w:eastAsia="宋体" w:cs="宋体"/>
          <w:sz w:val="24"/>
        </w:rPr>
      </w:pPr>
      <w:r>
        <w:rPr>
          <w:rFonts w:hint="eastAsia" w:ascii="宋体" w:hAnsi="宋体" w:eastAsia="宋体" w:cs="宋体"/>
          <w:sz w:val="24"/>
        </w:rPr>
        <w:t>1.在两个月完成系统上线。</w:t>
      </w:r>
    </w:p>
    <w:p>
      <w:pPr>
        <w:spacing w:after="160" w:line="360" w:lineRule="auto"/>
        <w:rPr>
          <w:rFonts w:ascii="宋体" w:hAnsi="宋体" w:eastAsia="宋体" w:cs="宋体"/>
          <w:sz w:val="24"/>
        </w:rPr>
      </w:pPr>
      <w:r>
        <w:rPr>
          <w:rFonts w:hint="eastAsia" w:ascii="宋体" w:hAnsi="宋体" w:eastAsia="宋体" w:cs="宋体"/>
          <w:sz w:val="24"/>
        </w:rPr>
        <w:t>2.项目实施的各个阶段：需求分析阶段、系统开发阶段、系统实施准备阶段、系统培训阶段、系统初验测试阶段、系统试运行阶段、系统终验阶段。</w:t>
      </w:r>
    </w:p>
    <w:p>
      <w:pPr>
        <w:pStyle w:val="4"/>
        <w:numPr>
          <w:ilvl w:val="1"/>
          <w:numId w:val="7"/>
        </w:numPr>
        <w:jc w:val="left"/>
        <w:rPr>
          <w:sz w:val="24"/>
          <w:szCs w:val="21"/>
        </w:rPr>
      </w:pPr>
      <w:r>
        <w:rPr>
          <w:rFonts w:hint="eastAsia"/>
          <w:sz w:val="24"/>
          <w:szCs w:val="21"/>
        </w:rPr>
        <w:t>售后服务要求</w:t>
      </w:r>
    </w:p>
    <w:p>
      <w:pPr>
        <w:spacing w:after="160" w:line="360" w:lineRule="auto"/>
        <w:rPr>
          <w:rFonts w:ascii="宋体" w:hAnsi="宋体" w:eastAsia="宋体" w:cs="宋体"/>
          <w:sz w:val="24"/>
        </w:rPr>
      </w:pPr>
      <w:r>
        <w:rPr>
          <w:rFonts w:hint="eastAsia" w:ascii="宋体" w:hAnsi="宋体" w:eastAsia="宋体" w:cs="宋体"/>
          <w:sz w:val="24"/>
        </w:rPr>
        <w:t>1、该系统</w:t>
      </w:r>
      <w:r>
        <w:rPr>
          <w:rFonts w:hint="eastAsia" w:ascii="宋体" w:hAnsi="宋体" w:eastAsia="宋体" w:cs="宋体"/>
          <w:sz w:val="24"/>
          <w:lang w:eastAsia="zh-CN"/>
        </w:rPr>
        <w:t>维保</w:t>
      </w:r>
      <w:r>
        <w:rPr>
          <w:rFonts w:hint="eastAsia" w:ascii="宋体" w:hAnsi="宋体" w:eastAsia="宋体" w:cs="宋体"/>
          <w:sz w:val="24"/>
        </w:rPr>
        <w:t>期为</w:t>
      </w:r>
      <w:r>
        <w:rPr>
          <w:rFonts w:ascii="宋体" w:hAnsi="宋体" w:eastAsia="宋体" w:cs="宋体"/>
          <w:sz w:val="24"/>
        </w:rPr>
        <w:t>3</w:t>
      </w:r>
      <w:r>
        <w:rPr>
          <w:rFonts w:hint="eastAsia" w:ascii="宋体" w:hAnsi="宋体" w:eastAsia="宋体" w:cs="宋体"/>
          <w:sz w:val="24"/>
        </w:rPr>
        <w:t>年</w:t>
      </w:r>
      <w:r>
        <w:rPr>
          <w:rFonts w:hint="eastAsia" w:ascii="宋体" w:hAnsi="宋体" w:eastAsia="宋体" w:cs="宋体"/>
          <w:sz w:val="24"/>
          <w:lang w:val="en-US" w:eastAsia="zh-CN"/>
        </w:rPr>
        <w:t>(费用包含在项目报价中）</w:t>
      </w:r>
      <w:r>
        <w:rPr>
          <w:rFonts w:hint="eastAsia" w:ascii="宋体" w:hAnsi="宋体" w:eastAsia="宋体" w:cs="宋体"/>
          <w:sz w:val="24"/>
        </w:rPr>
        <w:t>，在</w:t>
      </w:r>
      <w:r>
        <w:rPr>
          <w:rFonts w:hint="eastAsia" w:ascii="宋体" w:hAnsi="宋体" w:eastAsia="宋体" w:cs="宋体"/>
          <w:sz w:val="24"/>
          <w:lang w:eastAsia="zh-CN"/>
        </w:rPr>
        <w:t>维保</w:t>
      </w:r>
      <w:r>
        <w:rPr>
          <w:rFonts w:hint="eastAsia" w:ascii="宋体" w:hAnsi="宋体" w:eastAsia="宋体" w:cs="宋体"/>
          <w:sz w:val="24"/>
        </w:rPr>
        <w:t xml:space="preserve">期期间发生设备故障，由厂家全权负责维修或根据与要求加以更换。所发生的的一切费用，包括人工费、材料费、运输费等 </w:t>
      </w:r>
    </w:p>
    <w:p>
      <w:pPr>
        <w:spacing w:after="160" w:line="360" w:lineRule="auto"/>
        <w:rPr>
          <w:rFonts w:ascii="宋体" w:hAnsi="宋体" w:eastAsia="宋体" w:cs="宋体"/>
          <w:sz w:val="24"/>
        </w:rPr>
      </w:pPr>
      <w:r>
        <w:rPr>
          <w:rFonts w:hint="eastAsia" w:ascii="宋体" w:hAnsi="宋体" w:eastAsia="宋体" w:cs="宋体"/>
          <w:sz w:val="24"/>
        </w:rPr>
        <w:t xml:space="preserve">等，全部由厂家负责。如设备故障属于下列情形之一引起，厂家尽快协助排除故障，使设备恢复正常，并根据公司的规定和收取实际发生的费用向用户收费： </w:t>
      </w:r>
    </w:p>
    <w:p>
      <w:pPr>
        <w:spacing w:after="160" w:line="360" w:lineRule="auto"/>
        <w:rPr>
          <w:rFonts w:ascii="宋体" w:hAnsi="宋体" w:eastAsia="宋体" w:cs="宋体"/>
          <w:sz w:val="24"/>
        </w:rPr>
      </w:pPr>
      <w:r>
        <w:rPr>
          <w:rFonts w:hint="eastAsia" w:ascii="宋体" w:hAnsi="宋体" w:eastAsia="宋体" w:cs="宋体"/>
          <w:sz w:val="24"/>
        </w:rPr>
        <w:t xml:space="preserve">a）易损件的正常损耗； </w:t>
      </w:r>
    </w:p>
    <w:p>
      <w:pPr>
        <w:spacing w:after="160" w:line="360" w:lineRule="auto"/>
        <w:rPr>
          <w:rFonts w:ascii="宋体" w:hAnsi="宋体" w:eastAsia="宋体" w:cs="宋体"/>
          <w:sz w:val="24"/>
        </w:rPr>
      </w:pPr>
      <w:r>
        <w:rPr>
          <w:rFonts w:hint="eastAsia" w:ascii="宋体" w:hAnsi="宋体" w:eastAsia="宋体" w:cs="宋体"/>
          <w:sz w:val="24"/>
        </w:rPr>
        <w:t xml:space="preserve">b）用户不按操作规程操作； </w:t>
      </w:r>
    </w:p>
    <w:p>
      <w:pPr>
        <w:spacing w:after="160" w:line="360" w:lineRule="auto"/>
        <w:rPr>
          <w:rFonts w:ascii="宋体" w:hAnsi="宋体" w:eastAsia="宋体" w:cs="宋体"/>
          <w:sz w:val="24"/>
        </w:rPr>
      </w:pPr>
      <w:r>
        <w:rPr>
          <w:rFonts w:hint="eastAsia" w:ascii="宋体" w:hAnsi="宋体" w:eastAsia="宋体" w:cs="宋体"/>
          <w:sz w:val="24"/>
        </w:rPr>
        <w:t xml:space="preserve">c）用户人为造成设备损坏； </w:t>
      </w:r>
    </w:p>
    <w:p>
      <w:pPr>
        <w:spacing w:after="160" w:line="360" w:lineRule="auto"/>
        <w:rPr>
          <w:rFonts w:ascii="宋体" w:hAnsi="宋体" w:eastAsia="宋体" w:cs="宋体"/>
          <w:sz w:val="24"/>
        </w:rPr>
      </w:pPr>
      <w:r>
        <w:rPr>
          <w:rFonts w:hint="eastAsia" w:ascii="宋体" w:hAnsi="宋体" w:eastAsia="宋体" w:cs="宋体"/>
          <w:sz w:val="24"/>
        </w:rPr>
        <w:t>2、</w:t>
      </w:r>
      <w:r>
        <w:rPr>
          <w:rFonts w:hint="eastAsia" w:ascii="宋体" w:hAnsi="宋体" w:eastAsia="宋体" w:cs="宋体"/>
          <w:sz w:val="24"/>
          <w:lang w:val="en-US" w:eastAsia="zh-CN"/>
        </w:rPr>
        <w:t>3年</w:t>
      </w:r>
      <w:r>
        <w:rPr>
          <w:rFonts w:hint="eastAsia" w:ascii="宋体" w:hAnsi="宋体" w:eastAsia="宋体" w:cs="宋体"/>
          <w:sz w:val="24"/>
          <w:lang w:eastAsia="zh-CN"/>
        </w:rPr>
        <w:t>维保</w:t>
      </w:r>
      <w:r>
        <w:rPr>
          <w:rFonts w:hint="eastAsia" w:ascii="宋体" w:hAnsi="宋体" w:eastAsia="宋体" w:cs="宋体"/>
          <w:sz w:val="24"/>
        </w:rPr>
        <w:t>期内，厂家为该系统升级服务</w:t>
      </w:r>
      <w:r>
        <w:rPr>
          <w:rFonts w:hint="eastAsia" w:ascii="宋体" w:hAnsi="宋体" w:eastAsia="宋体" w:cs="宋体"/>
          <w:sz w:val="24"/>
          <w:lang w:val="en-US" w:eastAsia="zh-CN"/>
        </w:rPr>
        <w:t>(费用包含在项目报价中）</w:t>
      </w:r>
      <w:r>
        <w:rPr>
          <w:rFonts w:hint="eastAsia" w:ascii="宋体" w:hAnsi="宋体" w:eastAsia="宋体" w:cs="宋体"/>
          <w:sz w:val="24"/>
        </w:rPr>
        <w:t xml:space="preserve">。 </w:t>
      </w:r>
    </w:p>
    <w:p>
      <w:pPr>
        <w:spacing w:after="160" w:line="360" w:lineRule="auto"/>
        <w:rPr>
          <w:rFonts w:ascii="宋体" w:hAnsi="宋体" w:eastAsia="宋体" w:cs="宋体"/>
          <w:sz w:val="24"/>
        </w:rPr>
      </w:pPr>
      <w:r>
        <w:rPr>
          <w:rFonts w:hint="eastAsia" w:ascii="宋体" w:hAnsi="宋体" w:eastAsia="宋体" w:cs="宋体"/>
          <w:sz w:val="24"/>
          <w:lang w:val="en-US" w:eastAsia="zh-CN"/>
        </w:rPr>
        <w:t>3</w:t>
      </w:r>
      <w:r>
        <w:rPr>
          <w:rFonts w:hint="eastAsia" w:ascii="宋体" w:hAnsi="宋体" w:eastAsia="宋体" w:cs="宋体"/>
          <w:sz w:val="24"/>
        </w:rPr>
        <w:t>、超出</w:t>
      </w:r>
      <w:r>
        <w:rPr>
          <w:rFonts w:hint="eastAsia" w:ascii="宋体" w:hAnsi="宋体" w:eastAsia="宋体" w:cs="宋体"/>
          <w:sz w:val="24"/>
          <w:lang w:eastAsia="zh-CN"/>
        </w:rPr>
        <w:t>维保</w:t>
      </w:r>
      <w:r>
        <w:rPr>
          <w:rFonts w:hint="eastAsia" w:ascii="宋体" w:hAnsi="宋体" w:eastAsia="宋体" w:cs="宋体"/>
          <w:sz w:val="24"/>
        </w:rPr>
        <w:t>期后，厂家对系统硬件部分提供终身维</w:t>
      </w:r>
      <w:bookmarkStart w:id="0" w:name="_GoBack"/>
      <w:r>
        <w:rPr>
          <w:rFonts w:hint="eastAsia" w:ascii="宋体" w:hAnsi="宋体" w:eastAsia="宋体" w:cs="宋体"/>
          <w:sz w:val="24"/>
        </w:rPr>
        <w:t>修</w:t>
      </w:r>
      <w:bookmarkEnd w:id="0"/>
      <w:r>
        <w:rPr>
          <w:rFonts w:hint="eastAsia" w:ascii="宋体" w:hAnsi="宋体" w:eastAsia="宋体" w:cs="宋体"/>
          <w:sz w:val="24"/>
        </w:rPr>
        <w:t>服务，维修费用由人工费、材料费和运输费等部分构成，根据公司的规定和收取实际发生的费用向用户收费</w:t>
      </w:r>
      <w:r>
        <w:rPr>
          <w:rFonts w:hint="eastAsia" w:ascii="宋体" w:hAnsi="宋体" w:eastAsia="宋体" w:cs="宋体"/>
          <w:sz w:val="24"/>
          <w:lang w:eastAsia="zh-CN"/>
        </w:rPr>
        <w:t>，</w:t>
      </w:r>
      <w:r>
        <w:rPr>
          <w:rFonts w:hint="eastAsia" w:ascii="宋体" w:hAnsi="宋体" w:eastAsia="宋体" w:cs="宋体"/>
          <w:b/>
          <w:bCs/>
          <w:sz w:val="24"/>
          <w:lang w:val="en-US" w:eastAsia="zh-CN"/>
        </w:rPr>
        <w:t>维保期后的维保费用请注明</w:t>
      </w:r>
      <w:r>
        <w:rPr>
          <w:rFonts w:hint="eastAsia" w:ascii="宋体" w:hAnsi="宋体" w:eastAsia="宋体" w:cs="宋体"/>
          <w:b/>
          <w:bCs/>
          <w:sz w:val="24"/>
        </w:rPr>
        <w:t>。</w:t>
      </w:r>
    </w:p>
    <w:p>
      <w:pPr>
        <w:spacing w:after="160" w:line="360" w:lineRule="auto"/>
        <w:rPr>
          <w:rFonts w:ascii="宋体" w:hAnsi="宋体" w:eastAsia="宋体" w:cs="宋体"/>
          <w:sz w:val="24"/>
        </w:rPr>
      </w:pPr>
      <w:r>
        <w:rPr>
          <w:rFonts w:hint="eastAsia" w:ascii="宋体" w:hAnsi="宋体" w:eastAsia="宋体" w:cs="宋体"/>
          <w:sz w:val="24"/>
          <w:lang w:val="en-US" w:eastAsia="zh-CN"/>
        </w:rPr>
        <w:t>4</w:t>
      </w:r>
      <w:r>
        <w:rPr>
          <w:rFonts w:hint="eastAsia" w:ascii="宋体" w:hAnsi="宋体" w:eastAsia="宋体" w:cs="宋体"/>
          <w:sz w:val="24"/>
        </w:rPr>
        <w:t xml:space="preserve">、 厂家建立客户服务专员制度，有专人负责用户的回访及信息跟踪服务，厂家 </w:t>
      </w:r>
    </w:p>
    <w:p>
      <w:pPr>
        <w:spacing w:after="160" w:line="360" w:lineRule="auto"/>
        <w:rPr>
          <w:rFonts w:ascii="宋体" w:hAnsi="宋体" w:eastAsia="宋体" w:cs="宋体"/>
          <w:sz w:val="24"/>
        </w:rPr>
      </w:pPr>
      <w:r>
        <w:rPr>
          <w:rFonts w:hint="eastAsia" w:ascii="宋体" w:hAnsi="宋体" w:eastAsia="宋体" w:cs="宋体"/>
          <w:sz w:val="24"/>
        </w:rPr>
        <w:t xml:space="preserve">承诺在 24 小时内快速响应客户的维修及其他服务要求，并在 72 小时内到达 </w:t>
      </w:r>
    </w:p>
    <w:p>
      <w:pPr>
        <w:spacing w:after="160" w:line="360" w:lineRule="auto"/>
        <w:rPr>
          <w:rFonts w:ascii="宋体" w:hAnsi="宋体" w:eastAsia="宋体" w:cs="宋体"/>
          <w:sz w:val="24"/>
        </w:rPr>
      </w:pPr>
      <w:r>
        <w:rPr>
          <w:rFonts w:hint="eastAsia" w:ascii="宋体" w:hAnsi="宋体" w:eastAsia="宋体" w:cs="宋体"/>
          <w:sz w:val="24"/>
        </w:rPr>
        <w:t xml:space="preserve">现场进行维修（个别偏远及交通不便地区除外）； </w:t>
      </w:r>
    </w:p>
    <w:p>
      <w:pPr>
        <w:spacing w:after="160" w:line="360" w:lineRule="auto"/>
        <w:rPr>
          <w:rFonts w:ascii="宋体" w:hAnsi="宋体" w:eastAsia="宋体" w:cs="宋体"/>
          <w:sz w:val="24"/>
        </w:rPr>
      </w:pPr>
      <w:r>
        <w:rPr>
          <w:rFonts w:hint="eastAsia" w:ascii="宋体" w:hAnsi="宋体" w:eastAsia="宋体" w:cs="宋体"/>
          <w:sz w:val="24"/>
          <w:lang w:val="en-US" w:eastAsia="zh-CN"/>
        </w:rPr>
        <w:t>5</w:t>
      </w:r>
      <w:r>
        <w:rPr>
          <w:rFonts w:hint="eastAsia" w:ascii="宋体" w:hAnsi="宋体" w:eastAsia="宋体" w:cs="宋体"/>
          <w:sz w:val="24"/>
        </w:rPr>
        <w:t>、 保证对所售产品提供专业的技术服务及技术支持。</w:t>
      </w:r>
    </w:p>
    <w:p>
      <w:pPr>
        <w:pStyle w:val="4"/>
        <w:numPr>
          <w:ilvl w:val="1"/>
          <w:numId w:val="7"/>
        </w:numPr>
        <w:jc w:val="left"/>
        <w:rPr>
          <w:sz w:val="24"/>
          <w:szCs w:val="21"/>
        </w:rPr>
      </w:pPr>
      <w:r>
        <w:rPr>
          <w:rFonts w:hint="eastAsia"/>
          <w:sz w:val="24"/>
          <w:szCs w:val="21"/>
        </w:rPr>
        <w:t>培训要求</w:t>
      </w:r>
    </w:p>
    <w:p>
      <w:pPr>
        <w:spacing w:after="160" w:line="360" w:lineRule="auto"/>
        <w:rPr>
          <w:rFonts w:ascii="宋体" w:hAnsi="宋体" w:eastAsia="宋体" w:cs="宋体"/>
          <w:sz w:val="24"/>
        </w:rPr>
      </w:pPr>
      <w:r>
        <w:rPr>
          <w:rFonts w:hint="eastAsia" w:ascii="宋体" w:hAnsi="宋体" w:eastAsia="宋体" w:cs="宋体"/>
          <w:sz w:val="24"/>
        </w:rPr>
        <w:t>1.根据不同专业、不同管理要求对科室负责人及所有上岗操作使用人员进行系统主要功能、系统操作使用方法、系统工作流程培训。通过培训，确保他们较好的掌握应用软件的使用方法，熟悉系统工作流程，基本达到了数据录入准确、及时、迅速的要求。</w:t>
      </w:r>
      <w:r>
        <w:rPr>
          <w:sz w:val="24"/>
        </w:rPr>
        <w:t>同时确保系统管理员具备系统的维护能力，并提供详细的系统应用培训方案。</w:t>
      </w:r>
    </w:p>
    <w:p>
      <w:pPr>
        <w:spacing w:after="160" w:line="360" w:lineRule="auto"/>
        <w:rPr>
          <w:rFonts w:ascii="宋体" w:hAnsi="宋体" w:eastAsia="宋体" w:cs="宋体"/>
          <w:sz w:val="24"/>
        </w:rPr>
      </w:pPr>
      <w:r>
        <w:rPr>
          <w:rFonts w:hint="eastAsia" w:ascii="宋体" w:hAnsi="宋体" w:eastAsia="宋体" w:cs="宋体"/>
          <w:sz w:val="24"/>
        </w:rPr>
        <w:t>2.培训对象包括系统管理员、管理人员、操作员(医生、护士、技术员)等。</w:t>
      </w:r>
    </w:p>
    <w:p>
      <w:pPr>
        <w:spacing w:after="160" w:line="360" w:lineRule="auto"/>
      </w:pPr>
      <w:r>
        <w:rPr>
          <w:rFonts w:hint="eastAsia" w:ascii="宋体" w:hAnsi="宋体" w:eastAsia="宋体" w:cs="宋体"/>
          <w:sz w:val="24"/>
        </w:rPr>
        <w:t>3.</w:t>
      </w:r>
      <w:r>
        <w:rPr>
          <w:rFonts w:hint="eastAsia" w:ascii="宋体" w:hAnsi="宋体" w:eastAsia="宋体" w:cs="宋体"/>
          <w:sz w:val="24"/>
          <w:lang w:val="en-US" w:eastAsia="zh-CN"/>
        </w:rPr>
        <w:t>请提供</w:t>
      </w:r>
      <w:r>
        <w:rPr>
          <w:rFonts w:hint="eastAsia" w:ascii="宋体" w:hAnsi="宋体" w:eastAsia="宋体" w:cs="宋体"/>
          <w:sz w:val="24"/>
        </w:rPr>
        <w:t>培训计划:包括系统管理员的培训、操作骨干的培训和操作人员的培训方法和内容。</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embedRegular r:id="rId1" w:fontKey="{527BB6D1-0301-420F-8A3B-553396418DFE}"/>
  </w:font>
  <w:font w:name="宋体">
    <w:panose1 w:val="02010600030101010101"/>
    <w:charset w:val="86"/>
    <w:family w:val="auto"/>
    <w:pitch w:val="default"/>
    <w:sig w:usb0="00000003" w:usb1="288F0000" w:usb2="00000006" w:usb3="00000000" w:csb0="00040001" w:csb1="00000000"/>
    <w:embedRegular r:id="rId2" w:fontKey="{38A97CA7-BC72-4AE4-8952-83FFE724BEB3}"/>
  </w:font>
  <w:font w:name="Wingdings">
    <w:panose1 w:val="05000000000000000000"/>
    <w:charset w:val="02"/>
    <w:family w:val="auto"/>
    <w:pitch w:val="default"/>
    <w:sig w:usb0="00000000" w:usb1="00000000" w:usb2="00000000" w:usb3="00000000" w:csb0="80000000" w:csb1="00000000"/>
    <w:embedRegular r:id="rId3" w:fontKey="{39E62516-A8C0-4907-8C31-735F5A562FE9}"/>
  </w:font>
  <w:font w:name="Arial">
    <w:panose1 w:val="020B0604020202020204"/>
    <w:charset w:val="01"/>
    <w:family w:val="swiss"/>
    <w:pitch w:val="default"/>
    <w:sig w:usb0="E0002EFF" w:usb1="C000785B" w:usb2="00000009" w:usb3="00000000" w:csb0="400001FF" w:csb1="FFFF0000"/>
    <w:embedRegular r:id="rId4" w:fontKey="{A9DCEA0A-28A3-4EBD-98FD-90A60DB7662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embedRegular r:id="rId5" w:fontKey="{6D6AF04D-25B8-4861-B448-F4CD4B623E78}"/>
  </w:font>
  <w:font w:name="Symbol">
    <w:panose1 w:val="05050102010706020507"/>
    <w:charset w:val="02"/>
    <w:family w:val="roman"/>
    <w:pitch w:val="default"/>
    <w:sig w:usb0="00000000" w:usb1="00000000" w:usb2="00000000" w:usb3="00000000" w:csb0="80000000" w:csb1="00000000"/>
    <w:embedRegular r:id="rId6" w:fontKey="{7918A73F-2D13-4130-9DB5-20EEF8330843}"/>
  </w:font>
  <w:font w:name="Calibri">
    <w:panose1 w:val="020F0502020204030204"/>
    <w:charset w:val="00"/>
    <w:family w:val="swiss"/>
    <w:pitch w:val="default"/>
    <w:sig w:usb0="E0002EFF" w:usb1="C000247B" w:usb2="00000009" w:usb3="00000000" w:csb0="200001FF" w:csb1="00000000"/>
    <w:embedRegular r:id="rId7" w:fontKey="{FF359E1F-F4FF-4D6E-8F5E-C3216CDE406C}"/>
  </w:font>
  <w:font w:name="汉仪大黑简">
    <w:altName w:val="黑体"/>
    <w:panose1 w:val="00000000000000000000"/>
    <w:charset w:val="86"/>
    <w:family w:val="auto"/>
    <w:pitch w:val="default"/>
    <w:sig w:usb0="00000000" w:usb1="00000000" w:usb2="00000002" w:usb3="00000000" w:csb0="00040000" w:csb1="00000000"/>
  </w:font>
  <w:font w:name="汉仪中宋简">
    <w:altName w:val="宋体"/>
    <w:panose1 w:val="00000000000000000000"/>
    <w:charset w:val="80"/>
    <w:family w:val="auto"/>
    <w:pitch w:val="default"/>
    <w:sig w:usb0="00000000" w:usb1="00000000" w:usb2="00000012" w:usb3="00000000" w:csb0="00020001" w:csb1="00000000"/>
  </w:font>
  <w:font w:name="汉仪中黑S">
    <w:altName w:val="黑体"/>
    <w:panose1 w:val="00000000000000000000"/>
    <w:charset w:val="86"/>
    <w:family w:val="auto"/>
    <w:pitch w:val="default"/>
    <w:sig w:usb0="00000000" w:usb1="00000000" w:usb2="00000016"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6B7565E"/>
    <w:multiLevelType w:val="singleLevel"/>
    <w:tmpl w:val="86B7565E"/>
    <w:lvl w:ilvl="0" w:tentative="0">
      <w:start w:val="1"/>
      <w:numFmt w:val="decimal"/>
      <w:lvlText w:val="%1."/>
      <w:lvlJc w:val="left"/>
      <w:pPr>
        <w:ind w:left="425" w:hanging="425"/>
      </w:pPr>
      <w:rPr>
        <w:rFonts w:hint="default"/>
      </w:rPr>
    </w:lvl>
  </w:abstractNum>
  <w:abstractNum w:abstractNumId="1">
    <w:nsid w:val="8E534232"/>
    <w:multiLevelType w:val="multilevel"/>
    <w:tmpl w:val="8E534232"/>
    <w:lvl w:ilvl="0" w:tentative="0">
      <w:start w:val="1"/>
      <w:numFmt w:val="decimal"/>
      <w:pStyle w:val="3"/>
      <w:lvlText w:val="%1."/>
      <w:lvlJc w:val="left"/>
      <w:pPr>
        <w:ind w:left="432" w:hanging="432"/>
      </w:pPr>
      <w:rPr>
        <w:rFonts w:hint="default"/>
      </w:rPr>
    </w:lvl>
    <w:lvl w:ilvl="1" w:tentative="0">
      <w:start w:val="1"/>
      <w:numFmt w:val="decimal"/>
      <w:pStyle w:val="4"/>
      <w:lvlText w:val="%1.%2."/>
      <w:lvlJc w:val="left"/>
      <w:pPr>
        <w:ind w:left="575" w:hanging="575"/>
      </w:pPr>
      <w:rPr>
        <w:rFonts w:hint="default"/>
      </w:rPr>
    </w:lvl>
    <w:lvl w:ilvl="2" w:tentative="0">
      <w:start w:val="1"/>
      <w:numFmt w:val="decimal"/>
      <w:pStyle w:val="5"/>
      <w:lvlText w:val="%1.%2.%3."/>
      <w:lvlJc w:val="left"/>
      <w:pPr>
        <w:ind w:left="720" w:hanging="720"/>
      </w:pPr>
      <w:rPr>
        <w:rFonts w:hint="default"/>
      </w:rPr>
    </w:lvl>
    <w:lvl w:ilvl="3" w:tentative="0">
      <w:start w:val="1"/>
      <w:numFmt w:val="decimal"/>
      <w:pStyle w:val="6"/>
      <w:lvlText w:val="%1.%2.%3.%4."/>
      <w:lvlJc w:val="left"/>
      <w:pPr>
        <w:ind w:left="864" w:hanging="864"/>
      </w:pPr>
      <w:rPr>
        <w:rFonts w:hint="default"/>
      </w:rPr>
    </w:lvl>
    <w:lvl w:ilvl="4" w:tentative="0">
      <w:start w:val="1"/>
      <w:numFmt w:val="decimal"/>
      <w:pStyle w:val="7"/>
      <w:lvlText w:val="%1.%2.%3.%4.%5."/>
      <w:lvlJc w:val="left"/>
      <w:pPr>
        <w:ind w:left="1008" w:hanging="1008"/>
      </w:pPr>
      <w:rPr>
        <w:rFonts w:hint="default"/>
      </w:rPr>
    </w:lvl>
    <w:lvl w:ilvl="5" w:tentative="0">
      <w:start w:val="1"/>
      <w:numFmt w:val="decimal"/>
      <w:pStyle w:val="8"/>
      <w:lvlText w:val="%1.%2.%3.%4.%5.%6."/>
      <w:lvlJc w:val="left"/>
      <w:pPr>
        <w:ind w:left="1151" w:hanging="1151"/>
      </w:pPr>
      <w:rPr>
        <w:rFonts w:hint="default"/>
      </w:rPr>
    </w:lvl>
    <w:lvl w:ilvl="6" w:tentative="0">
      <w:start w:val="1"/>
      <w:numFmt w:val="decimal"/>
      <w:pStyle w:val="9"/>
      <w:lvlText w:val="%1.%2.%3.%4.%5.%6.%7."/>
      <w:lvlJc w:val="left"/>
      <w:pPr>
        <w:ind w:left="1296" w:hanging="1296"/>
      </w:pPr>
      <w:rPr>
        <w:rFonts w:hint="default"/>
      </w:rPr>
    </w:lvl>
    <w:lvl w:ilvl="7" w:tentative="0">
      <w:start w:val="1"/>
      <w:numFmt w:val="decimal"/>
      <w:pStyle w:val="10"/>
      <w:lvlText w:val="%1.%2.%3.%4.%5.%6.%7.%8."/>
      <w:lvlJc w:val="left"/>
      <w:pPr>
        <w:ind w:left="1440" w:hanging="1440"/>
      </w:pPr>
      <w:rPr>
        <w:rFonts w:hint="default"/>
      </w:rPr>
    </w:lvl>
    <w:lvl w:ilvl="8" w:tentative="0">
      <w:start w:val="1"/>
      <w:numFmt w:val="decimal"/>
      <w:pStyle w:val="11"/>
      <w:lvlText w:val="%1.%2.%3.%4.%5.%6.%7.%8.%9."/>
      <w:lvlJc w:val="left"/>
      <w:pPr>
        <w:ind w:left="1583" w:hanging="1583"/>
      </w:pPr>
      <w:rPr>
        <w:rFonts w:hint="default"/>
      </w:rPr>
    </w:lvl>
  </w:abstractNum>
  <w:abstractNum w:abstractNumId="2">
    <w:nsid w:val="A8831A1F"/>
    <w:multiLevelType w:val="singleLevel"/>
    <w:tmpl w:val="A8831A1F"/>
    <w:lvl w:ilvl="0" w:tentative="0">
      <w:start w:val="4"/>
      <w:numFmt w:val="decimal"/>
      <w:suff w:val="space"/>
      <w:lvlText w:val="%1."/>
      <w:lvlJc w:val="left"/>
    </w:lvl>
  </w:abstractNum>
  <w:abstractNum w:abstractNumId="3">
    <w:nsid w:val="C5837AA5"/>
    <w:multiLevelType w:val="singleLevel"/>
    <w:tmpl w:val="C5837AA5"/>
    <w:lvl w:ilvl="0" w:tentative="0">
      <w:start w:val="1"/>
      <w:numFmt w:val="decimal"/>
      <w:lvlText w:val="%1."/>
      <w:lvlJc w:val="left"/>
      <w:pPr>
        <w:tabs>
          <w:tab w:val="left" w:pos="312"/>
        </w:tabs>
      </w:pPr>
    </w:lvl>
  </w:abstractNum>
  <w:abstractNum w:abstractNumId="4">
    <w:nsid w:val="E683B3BA"/>
    <w:multiLevelType w:val="multilevel"/>
    <w:tmpl w:val="E683B3BA"/>
    <w:lvl w:ilvl="0" w:tentative="0">
      <w:start w:val="1"/>
      <w:numFmt w:val="decimal"/>
      <w:lvlText w:val="%1."/>
      <w:lvlJc w:val="left"/>
      <w:pPr>
        <w:ind w:left="425" w:hanging="425"/>
      </w:pPr>
      <w:rPr>
        <w:rFonts w:hint="default"/>
      </w:rPr>
    </w:lvl>
    <w:lvl w:ilvl="1" w:tentative="0">
      <w:start w:val="1"/>
      <w:numFmt w:val="decimal"/>
      <w:lvlText w:val="%1.%2."/>
      <w:lvlJc w:val="left"/>
      <w:pPr>
        <w:ind w:left="850" w:hanging="453"/>
      </w:pPr>
      <w:rPr>
        <w:rFonts w:hint="default"/>
      </w:rPr>
    </w:lvl>
    <w:lvl w:ilvl="2" w:tentative="0">
      <w:start w:val="1"/>
      <w:numFmt w:val="decimal"/>
      <w:lvlText w:val="%1.%2.%3."/>
      <w:lvlJc w:val="left"/>
      <w:pPr>
        <w:ind w:left="1508" w:hanging="708"/>
      </w:pPr>
      <w:rPr>
        <w:rFonts w:hint="default"/>
      </w:rPr>
    </w:lvl>
    <w:lvl w:ilvl="3" w:tentative="0">
      <w:start w:val="1"/>
      <w:numFmt w:val="decimal"/>
      <w:lvlText w:val="%1.%2.%3.%4."/>
      <w:lvlJc w:val="left"/>
      <w:pPr>
        <w:ind w:left="2053" w:hanging="853"/>
      </w:pPr>
      <w:rPr>
        <w:rFonts w:hint="default"/>
      </w:rPr>
    </w:lvl>
    <w:lvl w:ilvl="4" w:tentative="0">
      <w:start w:val="1"/>
      <w:numFmt w:val="decimal"/>
      <w:lvlText w:val="%1.%2.%3.%4.%5."/>
      <w:lvlJc w:val="left"/>
      <w:pPr>
        <w:ind w:left="2495" w:hanging="895"/>
      </w:pPr>
      <w:rPr>
        <w:rFonts w:hint="default"/>
      </w:rPr>
    </w:lvl>
    <w:lvl w:ilvl="5" w:tentative="0">
      <w:start w:val="1"/>
      <w:numFmt w:val="decimal"/>
      <w:lvlText w:val="%1.%2.%3.%4.%5.%6."/>
      <w:lvlJc w:val="left"/>
      <w:pPr>
        <w:ind w:left="3136" w:hanging="1136"/>
      </w:pPr>
      <w:rPr>
        <w:rFonts w:hint="default"/>
      </w:rPr>
    </w:lvl>
    <w:lvl w:ilvl="6" w:tentative="0">
      <w:start w:val="1"/>
      <w:numFmt w:val="decimal"/>
      <w:lvlText w:val="%1.%2.%3.%4.%5.%6.%7."/>
      <w:lvlJc w:val="left"/>
      <w:pPr>
        <w:ind w:left="3673" w:hanging="1273"/>
      </w:pPr>
      <w:rPr>
        <w:rFonts w:hint="default"/>
      </w:rPr>
    </w:lvl>
    <w:lvl w:ilvl="7" w:tentative="0">
      <w:start w:val="1"/>
      <w:numFmt w:val="decimal"/>
      <w:lvlText w:val="%1.%2.%3.%4.%5.%6.%7.%8."/>
      <w:lvlJc w:val="left"/>
      <w:pPr>
        <w:ind w:left="4218" w:hanging="1418"/>
      </w:pPr>
      <w:rPr>
        <w:rFonts w:hint="default"/>
      </w:rPr>
    </w:lvl>
    <w:lvl w:ilvl="8" w:tentative="0">
      <w:start w:val="1"/>
      <w:numFmt w:val="decimal"/>
      <w:lvlText w:val="%1.%2.%3.%4.%5.%6.%7.%8.%9."/>
      <w:lvlJc w:val="left"/>
      <w:pPr>
        <w:ind w:left="4648" w:hanging="1448"/>
      </w:pPr>
      <w:rPr>
        <w:rFonts w:hint="default"/>
      </w:rPr>
    </w:lvl>
  </w:abstractNum>
  <w:abstractNum w:abstractNumId="5">
    <w:nsid w:val="F100A57B"/>
    <w:multiLevelType w:val="singleLevel"/>
    <w:tmpl w:val="F100A57B"/>
    <w:lvl w:ilvl="0" w:tentative="0">
      <w:start w:val="3"/>
      <w:numFmt w:val="decimal"/>
      <w:suff w:val="space"/>
      <w:lvlText w:val="%1."/>
      <w:lvlJc w:val="left"/>
    </w:lvl>
  </w:abstractNum>
  <w:abstractNum w:abstractNumId="6">
    <w:nsid w:val="157C0624"/>
    <w:multiLevelType w:val="singleLevel"/>
    <w:tmpl w:val="157C0624"/>
    <w:lvl w:ilvl="0" w:tentative="0">
      <w:start w:val="1"/>
      <w:numFmt w:val="decimal"/>
      <w:pStyle w:val="21"/>
      <w:suff w:val="nothing"/>
      <w:lvlText w:val="%1．"/>
      <w:lvlJc w:val="left"/>
      <w:pPr>
        <w:ind w:left="-803" w:firstLine="400"/>
      </w:pPr>
      <w:rPr>
        <w:rFonts w:hint="default"/>
      </w:rPr>
    </w:lvl>
  </w:abstractNum>
  <w:abstractNum w:abstractNumId="7">
    <w:nsid w:val="416224E6"/>
    <w:multiLevelType w:val="singleLevel"/>
    <w:tmpl w:val="416224E6"/>
    <w:lvl w:ilvl="0" w:tentative="0">
      <w:start w:val="1"/>
      <w:numFmt w:val="decimal"/>
      <w:lvlText w:val="%1."/>
      <w:lvlJc w:val="left"/>
      <w:pPr>
        <w:ind w:left="425" w:hanging="425"/>
      </w:pPr>
      <w:rPr>
        <w:rFonts w:hint="default"/>
      </w:rPr>
    </w:lvl>
  </w:abstractNum>
  <w:num w:numId="1">
    <w:abstractNumId w:val="1"/>
  </w:num>
  <w:num w:numId="2">
    <w:abstractNumId w:val="6"/>
  </w:num>
  <w:num w:numId="3">
    <w:abstractNumId w:val="5"/>
  </w:num>
  <w:num w:numId="4">
    <w:abstractNumId w:val="3"/>
  </w:num>
  <w:num w:numId="5">
    <w:abstractNumId w:val="2"/>
  </w:num>
  <w:num w:numId="6">
    <w:abstractNumId w:val="0"/>
  </w:num>
  <w:num w:numId="7">
    <w:abstractNumId w:val="4"/>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embedSystemFonts/>
  <w:bordersDoNotSurroundHeader w:val="1"/>
  <w:bordersDoNotSurroundFooter w:val="1"/>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TJkMjExMTU2MjcyNTYxYmUwOTUzMmZiY2ZkNmUzOTMifQ=="/>
    <w:docVar w:name="KSO_WPS_MARK_KEY" w:val="f175eb32-7b6f-40f3-8b91-cb43c45be263"/>
  </w:docVars>
  <w:rsids>
    <w:rsidRoot w:val="00146746"/>
    <w:rsid w:val="00121C8D"/>
    <w:rsid w:val="00146746"/>
    <w:rsid w:val="00163FA1"/>
    <w:rsid w:val="00174577"/>
    <w:rsid w:val="00276532"/>
    <w:rsid w:val="00285EC4"/>
    <w:rsid w:val="00431903"/>
    <w:rsid w:val="004B58B6"/>
    <w:rsid w:val="005A08A6"/>
    <w:rsid w:val="006D3E0D"/>
    <w:rsid w:val="006F4258"/>
    <w:rsid w:val="00727A9C"/>
    <w:rsid w:val="007715E2"/>
    <w:rsid w:val="007A23E4"/>
    <w:rsid w:val="008D3FD5"/>
    <w:rsid w:val="0096708C"/>
    <w:rsid w:val="00B27C8A"/>
    <w:rsid w:val="00C518A6"/>
    <w:rsid w:val="00E47E67"/>
    <w:rsid w:val="00EA0336"/>
    <w:rsid w:val="145D35A0"/>
    <w:rsid w:val="16527FAD"/>
    <w:rsid w:val="1E0E6AAB"/>
    <w:rsid w:val="216D7621"/>
    <w:rsid w:val="23493E34"/>
    <w:rsid w:val="48272AF9"/>
    <w:rsid w:val="490D1652"/>
    <w:rsid w:val="4B470DCF"/>
    <w:rsid w:val="4D947C9B"/>
    <w:rsid w:val="4FD94677"/>
    <w:rsid w:val="5B1D57EF"/>
    <w:rsid w:val="67FE78EC"/>
    <w:rsid w:val="686F2215"/>
    <w:rsid w:val="69BC5325"/>
    <w:rsid w:val="700165E7"/>
    <w:rsid w:val="70B70470"/>
    <w:rsid w:val="76775080"/>
    <w:rsid w:val="7D711B4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semiHidden="0" w:name="heading 4"/>
    <w:lsdException w:qFormat="1" w:uiPriority="0" w:semiHidden="0" w:name="heading 5"/>
    <w:lsdException w:qFormat="1" w:uiPriority="0" w:semiHidden="0" w:name="heading 6"/>
    <w:lsdException w:qFormat="1" w:uiPriority="0" w:semiHidden="0" w:name="heading 7"/>
    <w:lsdException w:qFormat="1" w:uiPriority="0" w:semiHidden="0" w:name="heading 8"/>
    <w:lsdException w:qFormat="1" w:uiPriority="0" w:semiHidden="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99"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3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3">
    <w:name w:val="heading 1"/>
    <w:basedOn w:val="1"/>
    <w:next w:val="1"/>
    <w:qFormat/>
    <w:uiPriority w:val="0"/>
    <w:pPr>
      <w:keepNext/>
      <w:keepLines/>
      <w:numPr>
        <w:ilvl w:val="0"/>
        <w:numId w:val="1"/>
      </w:numPr>
      <w:tabs>
        <w:tab w:val="left" w:pos="2925"/>
      </w:tabs>
      <w:spacing w:before="340" w:after="330" w:line="576" w:lineRule="auto"/>
      <w:outlineLvl w:val="0"/>
    </w:pPr>
    <w:rPr>
      <w:b/>
      <w:kern w:val="44"/>
      <w:sz w:val="44"/>
    </w:rPr>
  </w:style>
  <w:style w:type="paragraph" w:styleId="4">
    <w:name w:val="heading 2"/>
    <w:basedOn w:val="1"/>
    <w:next w:val="1"/>
    <w:unhideWhenUsed/>
    <w:qFormat/>
    <w:uiPriority w:val="0"/>
    <w:pPr>
      <w:keepNext/>
      <w:keepLines/>
      <w:numPr>
        <w:ilvl w:val="1"/>
        <w:numId w:val="1"/>
      </w:numPr>
      <w:tabs>
        <w:tab w:val="left" w:pos="720"/>
      </w:tabs>
      <w:spacing w:before="260" w:after="260" w:line="360" w:lineRule="auto"/>
      <w:jc w:val="center"/>
      <w:outlineLvl w:val="1"/>
    </w:pPr>
    <w:rPr>
      <w:rFonts w:ascii="Arial" w:hAnsi="Arial" w:eastAsia="黑体"/>
      <w:b/>
      <w:sz w:val="32"/>
    </w:rPr>
  </w:style>
  <w:style w:type="paragraph" w:styleId="5">
    <w:name w:val="heading 3"/>
    <w:basedOn w:val="1"/>
    <w:next w:val="1"/>
    <w:link w:val="20"/>
    <w:unhideWhenUsed/>
    <w:qFormat/>
    <w:uiPriority w:val="0"/>
    <w:pPr>
      <w:numPr>
        <w:ilvl w:val="2"/>
        <w:numId w:val="1"/>
      </w:numPr>
      <w:tabs>
        <w:tab w:val="left" w:pos="1077"/>
      </w:tabs>
      <w:spacing w:line="600" w:lineRule="auto"/>
      <w:jc w:val="left"/>
      <w:outlineLvl w:val="2"/>
    </w:pPr>
    <w:rPr>
      <w:rFonts w:ascii="Arial" w:hAnsi="Arial" w:eastAsia="宋体"/>
      <w:bCs/>
      <w:sz w:val="30"/>
      <w:szCs w:val="32"/>
    </w:rPr>
  </w:style>
  <w:style w:type="paragraph" w:styleId="6">
    <w:name w:val="heading 4"/>
    <w:basedOn w:val="1"/>
    <w:next w:val="1"/>
    <w:unhideWhenUsed/>
    <w:qFormat/>
    <w:uiPriority w:val="0"/>
    <w:pPr>
      <w:keepNext/>
      <w:keepLines/>
      <w:numPr>
        <w:ilvl w:val="3"/>
        <w:numId w:val="1"/>
      </w:numPr>
      <w:tabs>
        <w:tab w:val="left" w:pos="2340"/>
      </w:tabs>
      <w:spacing w:before="280" w:after="290" w:line="372" w:lineRule="auto"/>
      <w:outlineLvl w:val="3"/>
    </w:pPr>
    <w:rPr>
      <w:rFonts w:ascii="Arial" w:hAnsi="Arial" w:eastAsia="黑体"/>
      <w:b/>
      <w:sz w:val="28"/>
    </w:rPr>
  </w:style>
  <w:style w:type="paragraph" w:styleId="7">
    <w:name w:val="heading 5"/>
    <w:basedOn w:val="1"/>
    <w:next w:val="1"/>
    <w:unhideWhenUsed/>
    <w:qFormat/>
    <w:uiPriority w:val="0"/>
    <w:pPr>
      <w:keepNext/>
      <w:keepLines/>
      <w:numPr>
        <w:ilvl w:val="4"/>
        <w:numId w:val="1"/>
      </w:numPr>
      <w:tabs>
        <w:tab w:val="left" w:pos="1440"/>
      </w:tabs>
      <w:spacing w:before="280" w:after="290" w:line="372" w:lineRule="auto"/>
      <w:outlineLvl w:val="4"/>
    </w:pPr>
    <w:rPr>
      <w:b/>
      <w:sz w:val="28"/>
    </w:rPr>
  </w:style>
  <w:style w:type="paragraph" w:styleId="8">
    <w:name w:val="heading 6"/>
    <w:basedOn w:val="1"/>
    <w:next w:val="1"/>
    <w:unhideWhenUsed/>
    <w:qFormat/>
    <w:uiPriority w:val="0"/>
    <w:pPr>
      <w:keepNext/>
      <w:keepLines/>
      <w:numPr>
        <w:ilvl w:val="5"/>
        <w:numId w:val="1"/>
      </w:numPr>
      <w:tabs>
        <w:tab w:val="left" w:pos="1440"/>
      </w:tabs>
      <w:spacing w:before="240" w:after="64" w:line="317" w:lineRule="auto"/>
      <w:outlineLvl w:val="5"/>
    </w:pPr>
    <w:rPr>
      <w:rFonts w:ascii="Arial" w:hAnsi="Arial" w:eastAsia="黑体"/>
      <w:b/>
      <w:sz w:val="24"/>
    </w:rPr>
  </w:style>
  <w:style w:type="paragraph" w:styleId="9">
    <w:name w:val="heading 7"/>
    <w:basedOn w:val="1"/>
    <w:next w:val="1"/>
    <w:unhideWhenUsed/>
    <w:qFormat/>
    <w:uiPriority w:val="0"/>
    <w:pPr>
      <w:keepNext/>
      <w:keepLines/>
      <w:numPr>
        <w:ilvl w:val="6"/>
        <w:numId w:val="1"/>
      </w:numPr>
      <w:tabs>
        <w:tab w:val="left" w:pos="1800"/>
      </w:tabs>
      <w:spacing w:before="240" w:after="64" w:line="317" w:lineRule="auto"/>
      <w:outlineLvl w:val="6"/>
    </w:pPr>
    <w:rPr>
      <w:b/>
      <w:sz w:val="24"/>
    </w:rPr>
  </w:style>
  <w:style w:type="paragraph" w:styleId="10">
    <w:name w:val="heading 8"/>
    <w:basedOn w:val="1"/>
    <w:next w:val="1"/>
    <w:unhideWhenUsed/>
    <w:qFormat/>
    <w:uiPriority w:val="0"/>
    <w:pPr>
      <w:keepNext/>
      <w:keepLines/>
      <w:numPr>
        <w:ilvl w:val="7"/>
        <w:numId w:val="1"/>
      </w:numPr>
      <w:tabs>
        <w:tab w:val="left" w:pos="2160"/>
      </w:tabs>
      <w:spacing w:before="240" w:after="64" w:line="317" w:lineRule="auto"/>
      <w:outlineLvl w:val="7"/>
    </w:pPr>
    <w:rPr>
      <w:rFonts w:ascii="Arial" w:hAnsi="Arial" w:eastAsia="黑体"/>
      <w:sz w:val="24"/>
    </w:rPr>
  </w:style>
  <w:style w:type="paragraph" w:styleId="11">
    <w:name w:val="heading 9"/>
    <w:basedOn w:val="1"/>
    <w:next w:val="1"/>
    <w:unhideWhenUsed/>
    <w:qFormat/>
    <w:uiPriority w:val="0"/>
    <w:pPr>
      <w:keepNext/>
      <w:keepLines/>
      <w:numPr>
        <w:ilvl w:val="8"/>
        <w:numId w:val="1"/>
      </w:numPr>
      <w:tabs>
        <w:tab w:val="left" w:pos="2520"/>
      </w:tabs>
      <w:spacing w:before="240" w:after="64" w:line="317" w:lineRule="auto"/>
      <w:outlineLvl w:val="8"/>
    </w:pPr>
    <w:rPr>
      <w:rFonts w:ascii="Arial" w:hAnsi="Arial" w:eastAsia="黑体"/>
    </w:rPr>
  </w:style>
  <w:style w:type="character" w:default="1" w:styleId="18">
    <w:name w:val="Default Paragraph Font"/>
    <w:semiHidden/>
    <w:unhideWhenUsed/>
    <w:qFormat/>
    <w:uiPriority w:val="1"/>
  </w:style>
  <w:style w:type="table" w:default="1" w:styleId="16">
    <w:name w:val="Normal Table"/>
    <w:semiHidden/>
    <w:unhideWhenUsed/>
    <w:qFormat/>
    <w:uiPriority w:val="99"/>
    <w:tblPr>
      <w:tblCellMar>
        <w:top w:w="0" w:type="dxa"/>
        <w:left w:w="108" w:type="dxa"/>
        <w:bottom w:w="0" w:type="dxa"/>
        <w:right w:w="108" w:type="dxa"/>
      </w:tblCellMar>
    </w:tblPr>
  </w:style>
  <w:style w:type="paragraph" w:styleId="2">
    <w:name w:val="Normal Indent"/>
    <w:basedOn w:val="1"/>
    <w:qFormat/>
    <w:uiPriority w:val="0"/>
    <w:pPr>
      <w:ind w:firstLine="200" w:firstLineChars="200"/>
    </w:pPr>
  </w:style>
  <w:style w:type="paragraph" w:styleId="12">
    <w:name w:val="annotation text"/>
    <w:basedOn w:val="1"/>
    <w:link w:val="38"/>
    <w:qFormat/>
    <w:uiPriority w:val="0"/>
    <w:pPr>
      <w:jc w:val="left"/>
    </w:pPr>
  </w:style>
  <w:style w:type="paragraph" w:styleId="13">
    <w:name w:val="Body Text"/>
    <w:basedOn w:val="1"/>
    <w:qFormat/>
    <w:uiPriority w:val="99"/>
    <w:pPr>
      <w:spacing w:line="360" w:lineRule="auto"/>
    </w:pPr>
    <w:rPr>
      <w:szCs w:val="20"/>
    </w:rPr>
  </w:style>
  <w:style w:type="paragraph" w:styleId="14">
    <w:name w:val="Balloon Text"/>
    <w:basedOn w:val="1"/>
    <w:link w:val="37"/>
    <w:qFormat/>
    <w:uiPriority w:val="0"/>
    <w:rPr>
      <w:sz w:val="18"/>
      <w:szCs w:val="18"/>
    </w:rPr>
  </w:style>
  <w:style w:type="paragraph" w:styleId="15">
    <w:name w:val="annotation subject"/>
    <w:basedOn w:val="12"/>
    <w:next w:val="12"/>
    <w:link w:val="39"/>
    <w:qFormat/>
    <w:uiPriority w:val="0"/>
    <w:rPr>
      <w:b/>
      <w:bCs/>
    </w:rPr>
  </w:style>
  <w:style w:type="table" w:styleId="17">
    <w:name w:val="Table Grid"/>
    <w:basedOn w:val="16"/>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9">
    <w:name w:val="annotation reference"/>
    <w:basedOn w:val="18"/>
    <w:qFormat/>
    <w:uiPriority w:val="0"/>
    <w:rPr>
      <w:sz w:val="21"/>
      <w:szCs w:val="21"/>
    </w:rPr>
  </w:style>
  <w:style w:type="character" w:customStyle="1" w:styleId="20">
    <w:name w:val="标题 3 字符"/>
    <w:link w:val="5"/>
    <w:qFormat/>
    <w:uiPriority w:val="0"/>
    <w:rPr>
      <w:rFonts w:ascii="Arial" w:hAnsi="Arial" w:cstheme="minorBidi"/>
      <w:bCs/>
      <w:kern w:val="2"/>
      <w:sz w:val="30"/>
      <w:szCs w:val="32"/>
    </w:rPr>
  </w:style>
  <w:style w:type="paragraph" w:customStyle="1" w:styleId="21">
    <w:name w:val="样式1"/>
    <w:basedOn w:val="3"/>
    <w:next w:val="1"/>
    <w:qFormat/>
    <w:uiPriority w:val="0"/>
    <w:pPr>
      <w:numPr>
        <w:numId w:val="2"/>
      </w:numPr>
      <w:spacing w:line="360" w:lineRule="auto"/>
      <w:ind w:firstLine="803"/>
    </w:pPr>
    <w:rPr>
      <w:rFonts w:cstheme="minorEastAsia"/>
      <w:sz w:val="40"/>
      <w:szCs w:val="40"/>
    </w:rPr>
  </w:style>
  <w:style w:type="paragraph" w:customStyle="1" w:styleId="22">
    <w:name w:val="表格文字"/>
    <w:basedOn w:val="1"/>
    <w:next w:val="13"/>
    <w:qFormat/>
    <w:uiPriority w:val="0"/>
    <w:pPr>
      <w:spacing w:before="25" w:after="25"/>
      <w:jc w:val="left"/>
    </w:pPr>
    <w:rPr>
      <w:rFonts w:ascii="Times New Roman" w:hAnsi="Times New Roman" w:eastAsia="宋体" w:cs="Times New Roman"/>
      <w:bCs/>
      <w:spacing w:val="10"/>
      <w:kern w:val="0"/>
      <w:sz w:val="24"/>
      <w:szCs w:val="20"/>
    </w:rPr>
  </w:style>
  <w:style w:type="paragraph" w:customStyle="1" w:styleId="23">
    <w:name w:val="稻壳 标题 1"/>
    <w:basedOn w:val="1"/>
    <w:qFormat/>
    <w:uiPriority w:val="0"/>
    <w:pPr>
      <w:spacing w:before="400" w:after="40"/>
      <w:jc w:val="left"/>
    </w:pPr>
    <w:rPr>
      <w:rFonts w:ascii="Arial" w:eastAsia="汉仪大黑简"/>
      <w:sz w:val="36"/>
    </w:rPr>
  </w:style>
  <w:style w:type="paragraph" w:customStyle="1" w:styleId="24">
    <w:name w:val="稻壳 标题 3"/>
    <w:basedOn w:val="1"/>
    <w:qFormat/>
    <w:uiPriority w:val="0"/>
    <w:pPr>
      <w:spacing w:before="40"/>
      <w:jc w:val="left"/>
    </w:pPr>
    <w:rPr>
      <w:rFonts w:ascii="Arial" w:eastAsia="汉仪大黑简"/>
      <w:sz w:val="28"/>
    </w:rPr>
  </w:style>
  <w:style w:type="paragraph" w:customStyle="1" w:styleId="25">
    <w:name w:val="稻壳 标题 2"/>
    <w:basedOn w:val="1"/>
    <w:qFormat/>
    <w:uiPriority w:val="0"/>
    <w:pPr>
      <w:spacing w:before="40"/>
      <w:jc w:val="left"/>
    </w:pPr>
    <w:rPr>
      <w:rFonts w:ascii="Arial" w:eastAsia="汉仪大黑简"/>
      <w:sz w:val="32"/>
    </w:rPr>
  </w:style>
  <w:style w:type="paragraph" w:customStyle="1" w:styleId="26">
    <w:name w:val="稻壳 标题 4"/>
    <w:basedOn w:val="1"/>
    <w:qFormat/>
    <w:uiPriority w:val="0"/>
    <w:pPr>
      <w:spacing w:before="40" w:line="260" w:lineRule="auto"/>
      <w:jc w:val="left"/>
    </w:pPr>
    <w:rPr>
      <w:rFonts w:ascii="Arial" w:eastAsia="汉仪大黑简"/>
      <w:sz w:val="24"/>
    </w:rPr>
  </w:style>
  <w:style w:type="paragraph" w:customStyle="1" w:styleId="27">
    <w:name w:val="稻壳 标题"/>
    <w:basedOn w:val="1"/>
    <w:qFormat/>
    <w:uiPriority w:val="0"/>
    <w:pPr>
      <w:spacing w:line="204" w:lineRule="auto"/>
      <w:jc w:val="center"/>
    </w:pPr>
    <w:rPr>
      <w:rFonts w:ascii="Times New Roman" w:eastAsia="汉仪中宋简"/>
      <w:sz w:val="72"/>
    </w:rPr>
  </w:style>
  <w:style w:type="paragraph" w:customStyle="1" w:styleId="28">
    <w:name w:val="稻壳 正文"/>
    <w:basedOn w:val="1"/>
    <w:qFormat/>
    <w:uiPriority w:val="0"/>
    <w:pPr>
      <w:spacing w:after="160" w:line="360" w:lineRule="auto"/>
      <w:ind w:firstLine="482"/>
      <w:jc w:val="left"/>
    </w:pPr>
    <w:rPr>
      <w:rFonts w:ascii="Arial" w:eastAsia="汉仪中黑S"/>
      <w:sz w:val="24"/>
    </w:rPr>
  </w:style>
  <w:style w:type="paragraph" w:customStyle="1" w:styleId="29">
    <w:name w:val="稻壳 题注"/>
    <w:basedOn w:val="1"/>
    <w:qFormat/>
    <w:uiPriority w:val="0"/>
    <w:pPr>
      <w:spacing w:after="160" w:line="360" w:lineRule="auto"/>
      <w:jc w:val="center"/>
    </w:pPr>
    <w:rPr>
      <w:rFonts w:ascii="Arial" w:eastAsia="汉仪中黑S"/>
      <w:sz w:val="24"/>
    </w:rPr>
  </w:style>
  <w:style w:type="paragraph" w:customStyle="1" w:styleId="30">
    <w:name w:val="稻壳 目录标题"/>
    <w:basedOn w:val="1"/>
    <w:qFormat/>
    <w:uiPriority w:val="0"/>
    <w:pPr>
      <w:spacing w:before="400" w:after="40"/>
      <w:jc w:val="center"/>
    </w:pPr>
    <w:rPr>
      <w:rFonts w:ascii="Arial" w:eastAsia="汉仪大黑简"/>
      <w:sz w:val="36"/>
    </w:rPr>
  </w:style>
  <w:style w:type="paragraph" w:customStyle="1" w:styleId="31">
    <w:name w:val="稻壳 目录 1"/>
    <w:basedOn w:val="1"/>
    <w:qFormat/>
    <w:uiPriority w:val="0"/>
    <w:pPr>
      <w:snapToGrid w:val="0"/>
      <w:spacing w:after="160" w:line="260" w:lineRule="auto"/>
      <w:jc w:val="left"/>
    </w:pPr>
    <w:rPr>
      <w:rFonts w:ascii="Arial" w:eastAsia="汉仪中黑S"/>
      <w:sz w:val="22"/>
    </w:rPr>
  </w:style>
  <w:style w:type="paragraph" w:customStyle="1" w:styleId="32">
    <w:name w:val="稻壳 目录 3"/>
    <w:basedOn w:val="1"/>
    <w:qFormat/>
    <w:uiPriority w:val="0"/>
    <w:pPr>
      <w:snapToGrid w:val="0"/>
      <w:spacing w:after="160" w:line="260" w:lineRule="auto"/>
      <w:ind w:left="840" w:leftChars="400"/>
      <w:jc w:val="left"/>
    </w:pPr>
    <w:rPr>
      <w:rFonts w:ascii="Arial" w:eastAsia="汉仪中黑S"/>
      <w:sz w:val="22"/>
    </w:rPr>
  </w:style>
  <w:style w:type="paragraph" w:customStyle="1" w:styleId="33">
    <w:name w:val="稻壳 目录 2"/>
    <w:basedOn w:val="1"/>
    <w:qFormat/>
    <w:uiPriority w:val="0"/>
    <w:pPr>
      <w:snapToGrid w:val="0"/>
      <w:spacing w:after="160" w:line="260" w:lineRule="auto"/>
      <w:ind w:left="420" w:leftChars="200"/>
      <w:jc w:val="left"/>
    </w:pPr>
    <w:rPr>
      <w:rFonts w:ascii="Arial" w:eastAsia="汉仪中黑S"/>
      <w:sz w:val="22"/>
    </w:rPr>
  </w:style>
  <w:style w:type="paragraph" w:customStyle="1" w:styleId="34">
    <w:name w:val="稻壳 目录 4"/>
    <w:basedOn w:val="1"/>
    <w:qFormat/>
    <w:uiPriority w:val="0"/>
    <w:pPr>
      <w:snapToGrid w:val="0"/>
      <w:spacing w:after="160" w:line="260" w:lineRule="auto"/>
      <w:ind w:left="1260" w:leftChars="600"/>
      <w:jc w:val="left"/>
    </w:pPr>
    <w:rPr>
      <w:rFonts w:ascii="Arial" w:eastAsia="汉仪中黑S"/>
      <w:sz w:val="22"/>
    </w:rPr>
  </w:style>
  <w:style w:type="paragraph" w:customStyle="1" w:styleId="35">
    <w:name w:val="正文1"/>
    <w:basedOn w:val="1"/>
    <w:qFormat/>
    <w:uiPriority w:val="0"/>
  </w:style>
  <w:style w:type="paragraph" w:customStyle="1" w:styleId="36">
    <w:name w:val="列出段落1"/>
    <w:basedOn w:val="1"/>
    <w:qFormat/>
    <w:uiPriority w:val="34"/>
    <w:pPr>
      <w:ind w:firstLine="420" w:firstLineChars="200"/>
    </w:pPr>
  </w:style>
  <w:style w:type="character" w:customStyle="1" w:styleId="37">
    <w:name w:val="批注框文本 字符"/>
    <w:basedOn w:val="18"/>
    <w:link w:val="14"/>
    <w:qFormat/>
    <w:uiPriority w:val="0"/>
    <w:rPr>
      <w:kern w:val="2"/>
      <w:sz w:val="18"/>
      <w:szCs w:val="18"/>
    </w:rPr>
  </w:style>
  <w:style w:type="character" w:customStyle="1" w:styleId="38">
    <w:name w:val="批注文字 字符"/>
    <w:basedOn w:val="18"/>
    <w:link w:val="12"/>
    <w:qFormat/>
    <w:uiPriority w:val="0"/>
    <w:rPr>
      <w:rFonts w:asciiTheme="minorHAnsi" w:hAnsiTheme="minorHAnsi" w:eastAsiaTheme="minorEastAsia" w:cstheme="minorBidi"/>
      <w:kern w:val="2"/>
      <w:sz w:val="21"/>
      <w:szCs w:val="24"/>
    </w:rPr>
  </w:style>
  <w:style w:type="character" w:customStyle="1" w:styleId="39">
    <w:name w:val="批注主题 字符"/>
    <w:basedOn w:val="38"/>
    <w:link w:val="15"/>
    <w:qFormat/>
    <w:uiPriority w:val="0"/>
    <w:rPr>
      <w:rFonts w:asciiTheme="minorHAnsi" w:hAnsiTheme="minorHAnsi" w:eastAsiaTheme="minorEastAsia" w:cstheme="minorBidi"/>
      <w:b/>
      <w:bCs/>
      <w:kern w:val="2"/>
      <w:sz w:val="21"/>
      <w:szCs w:val="24"/>
    </w:rPr>
  </w:style>
  <w:style w:type="paragraph" w:customStyle="1" w:styleId="40">
    <w:name w:val="Revision"/>
    <w:hidden/>
    <w:semiHidden/>
    <w:qFormat/>
    <w:uiPriority w:val="99"/>
    <w:rPr>
      <w:rFonts w:asciiTheme="minorHAnsi" w:hAnsiTheme="minorHAnsi" w:eastAsiaTheme="minorEastAsia" w:cstheme="minorBidi"/>
      <w:kern w:val="2"/>
      <w:sz w:val="21"/>
      <w:szCs w:val="24"/>
      <w:lang w:val="en-US" w:eastAsia="zh-CN" w:bidi="ar-SA"/>
    </w:rPr>
  </w:style>
</w:styles>
</file>

<file path=word/_rels/document.xml.rels><?xml version="1.0" encoding="UTF-8" standalone="yes"?>
<Relationships xmlns="http://schemas.openxmlformats.org/package/2006/relationships"><Relationship Id="rId5" Type="http://schemas.openxmlformats.org/officeDocument/2006/relationships/fontTable" Target="fontTable.xml"/><Relationship Id="rId4" Type="http://schemas.openxmlformats.org/officeDocument/2006/relationships/numbering" Target="numbering.xml"/><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7</Pages>
  <Words>3380</Words>
  <Characters>3480</Characters>
  <Lines>28</Lines>
  <Paragraphs>8</Paragraphs>
  <TotalTime>2</TotalTime>
  <ScaleCrop>false</ScaleCrop>
  <LinksUpToDate>false</LinksUpToDate>
  <CharactersWithSpaces>3513</CharactersWithSpaces>
  <Application>WPS Office_11.1.0.12763_F1E327BC-269C-435d-A152-05C5408002CA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2023-07-04T00:24:00Z</dcterms:created>
  <dc:creator>Admin</dc:creator>
  <cp:lastModifiedBy>黄秉勋</cp:lastModifiedBy>
  <dcterms:modified xsi:type="dcterms:W3CDTF">2023-07-24T00:40:59Z</dcterms:modified>
  <cp:revision>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2052-11.1.0.12763</vt:lpwstr>
  </property>
  <property fmtid="{D5CDD505-2E9C-101B-9397-08002B2CF9AE}" pid="3" name="ICV">
    <vt:lpwstr>0AF995D7B621496BB8A1CDC9B6267ECE_13</vt:lpwstr>
  </property>
</Properties>
</file>