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72"/>
          <w:szCs w:val="72"/>
        </w:rPr>
      </w:pPr>
      <w:r>
        <w:rPr>
          <w:rFonts w:hint="eastAsia" w:ascii="黑体" w:hAnsi="黑体" w:eastAsia="黑体"/>
          <w:b/>
          <w:bCs/>
          <w:sz w:val="52"/>
          <w:szCs w:val="52"/>
        </w:rPr>
        <w:t>广东省妇幼保健院信息系统容灾备份体系建设项目用户需求书</w:t>
      </w:r>
    </w:p>
    <w:p>
      <w:pPr>
        <w:pStyle w:val="2"/>
        <w:spacing w:before="156" w:after="156"/>
      </w:pPr>
      <w:r>
        <w:rPr>
          <w:rFonts w:hint="eastAsia"/>
        </w:rPr>
        <w:t>需求背景</w:t>
      </w:r>
    </w:p>
    <w:p>
      <w:pPr>
        <w:pStyle w:val="4"/>
        <w:spacing w:before="156" w:after="156"/>
        <w:ind w:left="0"/>
      </w:pPr>
      <w:r>
        <w:rPr>
          <w:rFonts w:hint="eastAsia"/>
        </w:rPr>
        <w:t>医院测评评级背景</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信息安全等级保护》医疗行业是重点对象，需确保并落实数据安全保障各方面的要求。其中根据国家数据安全等保2.0要求，需要对所有的业务系统及数据进行完整的容灾备份，保障数据的安全可靠。要求：本地备份与恢复+异地数据备份存储+业务高可用+定时恢复演练。</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《国家医疗健康信息医院信息互联互通标准化成熟度测评方案（2020年版）》中的附件1、医院信息互联互通标准化成熟度测评指标体系的基础设施建设情况 “4.1.2.3医院信息平台具有存储灾备能力的等级要求”中提出“RTO≤24h,RPO≤24h,为四级乙等；RTO≤4h,RPO≤6h，为四级甲等；RTO≤0.25h,RPO≤0.25h，为五级乙等”。</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《电子病历系统应用水平分级评价标准（试行）》5级</w:t>
      </w:r>
      <w:r>
        <w:rPr>
          <w:rFonts w:ascii="宋体" w:hAnsi="宋体" w:cs="宋体"/>
          <w:color w:val="000000"/>
          <w:sz w:val="22"/>
        </w:rPr>
        <w:t>09.04.5</w:t>
      </w:r>
      <w:r>
        <w:rPr>
          <w:rFonts w:hint="eastAsia" w:ascii="宋体" w:hAnsi="宋体" w:cs="宋体"/>
          <w:color w:val="000000"/>
          <w:sz w:val="22"/>
        </w:rPr>
        <w:t>要求：（1）对于重点系统具备完整的灾难恢复保障体系，每年至少完成一次应急演练（2）每季度至少进行一次数据恢复验证，保障备份数据的可用性（3）对于重点系统数据与系统的恢复时间不大于2小时，数据丢失时间不超过1天</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《电子病历基本规范2017》第十九条规定：门(急)诊电子病历由医疗机构保管的，保存时间自患者最后一次就诊之日起不少于15年;住院电子病历保存时间自患者最后一次出院之日起不少于30年。</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电子病历基本规范(试行)》第十六条第一项规定：具备保障电子病历数据安全的制度和措施，有数据备份机制，有条件的医疗机构应当建立信息系统灾备体系。应当能够落实系统出现故障时的应急预案，确保电子病历业务的连续性。</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《医学影像诊断中心管理规范 (试行)》规定：影像资料保存10年以上，至少3年在线，可供快速调阅、浏览和诊断使用。按照卫生计生行政部门有关要求及时上传影像资料数据信息。</w:t>
      </w:r>
    </w:p>
    <w:p>
      <w:pPr>
        <w:pStyle w:val="4"/>
        <w:spacing w:before="156" w:after="156"/>
        <w:ind w:left="0"/>
      </w:pPr>
      <w:r>
        <w:rPr>
          <w:rFonts w:hint="eastAsia"/>
        </w:rPr>
        <w:t>医疗数据安全背景</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随着信息化建设不断发展，我院现有卫健专网、互联网、政务外网、省医保专网等多种网络接入，面对当前层出不穷的新型攻击，医院网络安全环境日趋严峻。广东省内医疗体系均出现过多起非结构化数据因感染勒索病毒导致电子文件全部被非法加密锁定导致不可用的安全事件。</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目前广东省妇幼保健院经过多年信息化建设，随着多院区多机房建成使用，其中包括大量核心业务系统，其数据库类型主要为Oracle、SQL Server和电子档案及影像文件数据量有近200TB实现本地备份，随着数据量不断增加和行业监管关于要求保障数据安全及建设异地备份系统。</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因数据安全问题十分严峻，迫切需要更加有效的数据备份系统来进行增加的数据扩容保障，并在异地院区信息化机房建立异地灾备；在灾难事故发生时，可以在相对较小的代价，应对广泛的各类事故和灾难，在整体上保障并提升系统的可用性及数据安全性。</w:t>
      </w:r>
    </w:p>
    <w:p>
      <w:pPr>
        <w:pStyle w:val="4"/>
        <w:spacing w:before="156" w:after="156"/>
        <w:ind w:left="0"/>
      </w:pPr>
      <w:r>
        <w:rPr>
          <w:rFonts w:hint="eastAsia"/>
        </w:rPr>
        <w:t>机房搬迁及数据迁移背景</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随着我院信息化的不断发展，业务负荷的不断增加，服务器超出正常负载能力，已考虑我院未来规划做机房搬迁，将机房现有的IT设备，搬迁或迁移至新机房托管，搬迁期间保障数据不丢失，不影响后续业务运行。</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一旦搬迁及迁移期间核心业务系统层面故障，数据丢失误删除等逻辑性故障，将会导致与其相关的业务均无法开展，更有可能会出现整体IT医疗系统的全面崩溃，所有业务均无法开展，甚至会造成毁灭性的业务数据永久性丢失。</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备份、业务容灾是机房搬迁过程中最重要的保障环节。机房搬迁过程中一定要保证服务器和其他相关设备搬迁到新机房后可正常的启动，即使在业务系统服务器不能正常重启的情况下，也需要建立一套快速恢复的容灾备份措施。机房搬迁过程中保障方式是利用大容量的备份服务器进行重要数据的备份，同时采用虚拟化计算资源池搭建核心业务1：1容灾保证，搬迁过程中服务器发生故障无法正常运行，非核心业务通过备份的数据进行恢复，核心业务通过1：1应急容灾切换保障。</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因此搬迁期间需要考虑数据的有效性、安全性、完整性。建设满足现在我院医疗单位业务迁移和搬迁保障需求，提供一种智能的、一体化的、适应各种应用场景的业务迁移和搬迁场景的容灾备份保障方案。</w:t>
      </w:r>
    </w:p>
    <w:p>
      <w:pPr>
        <w:pStyle w:val="2"/>
        <w:spacing w:before="156" w:after="156"/>
      </w:pPr>
      <w:r>
        <w:rPr>
          <w:rFonts w:hint="eastAsia"/>
        </w:rPr>
        <w:t>项目</w:t>
      </w:r>
      <w:r>
        <w:t>需求</w:t>
      </w:r>
    </w:p>
    <w:p>
      <w:pPr>
        <w:pStyle w:val="4"/>
        <w:spacing w:before="156" w:after="156"/>
        <w:ind w:left="0"/>
      </w:pPr>
      <w:r>
        <w:rPr>
          <w:rFonts w:hint="eastAsia"/>
        </w:rPr>
        <w:t>“容灾机房”建设需求：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灾备机房是我院实现业务连续性的重要数据中心机房，需要具有数据备份和灾难恢复所需的网络通信、网络安全、计算算力等资源。</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番禺院区与越秀院区网络建设需求：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应根据当前医院网络情况进行全面的规划设计，采用全冗余架构和SDN技术、裸纤等技术对两院区网络进行融合，实现万兆主干，千兆到桌面的目标，在一套管控平台上对院区网络和数据中心网络进行业务配置与管理运维，对端对端的网络业务进行部署配置，可适应业务系统的频繁调整，同时在性能上应至少能够满足未来5~10年的业务发展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越秀院区网络安全建设需求：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整体网络安全防护建设需要满足《网络安全等级保护技术2.0版本》和《医疗行业信息安全技术健康医疗数据安全指南》等相关法律法规，在越秀院区的网络防护体系上进行完善。需分别在数据中心、外联区及互联网区部署防火墙实现安全区域划分；部署日志审计、上网行为管理等设备，便于信息追踪、风险防范和审计取证；在老院区部署态势感知系统探针，数据上传至态势感知分析平台，实现主动威胁识别；对终端杀毒系统及服务器虚拟化安全系统进行扩容。</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越秀院区计算、存储资源建设需求：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越秀院区新建灾备系统必须与现有业务应用系统完全兼容，最大限度保护现有信息化投资。现有业务系统基础设施FCSAN架构部分包括HIS系统数据库主备服务器、服务器虚拟化集群及存储阵列，服务器虚拟化承载医院除HIS外LIS、EMR、PACS等大部分业务系统。</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越秀院区灾备架构基础设施应满足HIS系统及绝大部分虚拟机的在线容灾支撑需求，如采用传统物理机方式部署，存在单点故障，新建灾备系统需合理考虑架构冗余，采用3节点超融合集群，实现关键业务系统的异地容灾，初期目标应实现核心数据库的实时复制，即RPO&lt;</w:t>
      </w:r>
      <w:r>
        <w:rPr>
          <w:rFonts w:ascii="宋体" w:hAnsi="宋体" w:cs="宋体"/>
          <w:color w:val="000000"/>
          <w:sz w:val="22"/>
        </w:rPr>
        <w:t>1</w:t>
      </w:r>
      <w:r>
        <w:rPr>
          <w:rFonts w:hint="eastAsia" w:ascii="宋体" w:hAnsi="宋体" w:cs="宋体"/>
          <w:color w:val="000000"/>
          <w:sz w:val="22"/>
        </w:rPr>
        <w:t>秒，RTO&lt;10分钟；应用服务器通过一定的技术手段实现RPO&lt;</w:t>
      </w:r>
      <w:r>
        <w:rPr>
          <w:rFonts w:ascii="宋体" w:hAnsi="宋体" w:cs="宋体"/>
          <w:color w:val="000000"/>
          <w:sz w:val="22"/>
        </w:rPr>
        <w:t>1</w:t>
      </w:r>
      <w:r>
        <w:rPr>
          <w:rFonts w:hint="eastAsia" w:ascii="宋体" w:hAnsi="宋体" w:cs="宋体"/>
          <w:color w:val="000000"/>
          <w:sz w:val="22"/>
        </w:rPr>
        <w:t>秒，RTO&lt;1</w:t>
      </w:r>
      <w:r>
        <w:rPr>
          <w:rFonts w:ascii="宋体" w:hAnsi="宋体" w:cs="宋体"/>
          <w:color w:val="000000"/>
          <w:sz w:val="22"/>
        </w:rPr>
        <w:t>5</w:t>
      </w:r>
      <w:r>
        <w:rPr>
          <w:rFonts w:hint="eastAsia" w:ascii="宋体" w:hAnsi="宋体" w:cs="宋体"/>
          <w:color w:val="000000"/>
          <w:sz w:val="22"/>
        </w:rPr>
        <w:t>分钟的目标。</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越秀院区数据安全建设需求：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安全是越秀院区灾备一体化项目的基本需求，在项目建设整个生命周期中，需要确保数据的安全性不受影响。现有院区数据中心架构复杂，涵盖数据库高可用集群、服务器虚拟化、超融合集群等基础设施，承载医院HIS、EMR、LIS、PACS等数十个业务系统，对应的物理服务器及虚拟机达到一百余台。在方案设计时应谨慎周密，确保现有系统容灾到新建灾备数据中心后数据百分百安全，还要考虑清楚同步过程中数据增量问题，以及出现异常问题后的保障机制。</w:t>
      </w:r>
    </w:p>
    <w:p>
      <w:pPr>
        <w:pStyle w:val="4"/>
        <w:spacing w:before="156" w:after="156"/>
        <w:ind w:left="0"/>
      </w:pPr>
      <w:r>
        <w:rPr>
          <w:rFonts w:hint="eastAsia"/>
        </w:rPr>
        <w:t>“容灾计算资源池”建设需求：</w:t>
      </w:r>
    </w:p>
    <w:p>
      <w:pPr>
        <w:widowControl/>
        <w:spacing w:line="276" w:lineRule="auto"/>
        <w:ind w:firstLine="440" w:firstLineChars="200"/>
        <w:jc w:val="left"/>
        <w:rPr>
          <w:rFonts w:ascii="宋体" w:hAnsi="宋体" w:cs="宋体"/>
          <w:color w:val="FF0000"/>
          <w:sz w:val="22"/>
        </w:rPr>
      </w:pPr>
      <w:r>
        <w:rPr>
          <w:rFonts w:hint="eastAsia" w:ascii="宋体" w:hAnsi="宋体" w:cs="宋体"/>
          <w:color w:val="000000"/>
          <w:sz w:val="22"/>
        </w:rPr>
        <w:t>为了保证主中心业务平台容灾接管需求，至少提供144物理核、3TB内存、480TB裸硬盘存储空间来满足容灾接管业务运行的需求，并且需要保证容灾接管平台接管业务后相关业务的高可用性和数据安全性，需要提供计算虚拟化、网络虚拟化来保证接管业务平台的高可用性，需要提供存储虚拟化，包括快存储、文件存储、对象存储等，来满足不同业务的接管需求，同时，需有云管平台、租户、裸金属管理等，来满足平台分权管理与隔离的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考虑未来国产化需求，虚拟化平台须支持 ARM、X86 和 Mips 等 CPU 架构体系，同一管理平台下可同时支持接管理 ARM、X86 和 Mips 等异构计算资源。提供至少3种国产化芯片互认证证书。</w:t>
      </w:r>
    </w:p>
    <w:p>
      <w:pPr>
        <w:pStyle w:val="4"/>
        <w:spacing w:before="156" w:after="156"/>
        <w:ind w:left="0"/>
      </w:pPr>
      <w:r>
        <w:rPr>
          <w:rFonts w:hint="eastAsia"/>
        </w:rPr>
        <w:t>“数据备份与恢复”需求：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番禺本地数据中心建设有本地备份，但现有的备份平台已投产使用近三年，其软件架构已做迭代升级，并需要适应未来建设的灾备集中统一式管理平台，</w:t>
      </w:r>
      <w:bookmarkStart w:id="0" w:name="_Hlk139475784"/>
      <w:r>
        <w:rPr>
          <w:rFonts w:hint="eastAsia" w:ascii="宋体" w:hAnsi="宋体" w:cs="宋体"/>
          <w:color w:val="000000"/>
          <w:sz w:val="22"/>
        </w:rPr>
        <w:t>迫切需要对本地备份软件系统进行升级改造。</w:t>
      </w:r>
      <w:bookmarkEnd w:id="0"/>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并根据等保三级“8.1.4.9 数据备份恢复”建设指导意见，利用越秀院区机房作为异地备份机房，并将番禺院区重要数据和系统备份到越秀机房，保障基础数据安全。</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本院已在之前上架部署完成了业务数据本地备份机制，保障了部分核心业务的安全运行。但由于业务数据量的剧增，目前本地容灾设备容量、软件版本已无法满足正常的业务需求。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目前情况统计如下：</w:t>
      </w:r>
    </w:p>
    <w:tbl>
      <w:tblPr>
        <w:tblStyle w:val="45"/>
        <w:tblW w:w="10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2126"/>
        <w:gridCol w:w="1985"/>
        <w:gridCol w:w="1275"/>
        <w:gridCol w:w="1560"/>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位置</w:t>
            </w:r>
          </w:p>
        </w:tc>
        <w:tc>
          <w:tcPr>
            <w:tcW w:w="2126"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备份相关设备</w:t>
            </w:r>
          </w:p>
        </w:tc>
        <w:tc>
          <w:tcPr>
            <w:tcW w:w="1985"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关键数据备份</w:t>
            </w:r>
          </w:p>
        </w:tc>
        <w:tc>
          <w:tcPr>
            <w:tcW w:w="1275"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生产数据量</w:t>
            </w:r>
          </w:p>
        </w:tc>
        <w:tc>
          <w:tcPr>
            <w:tcW w:w="1560"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目标规划备份设施容量</w:t>
            </w:r>
          </w:p>
        </w:tc>
        <w:tc>
          <w:tcPr>
            <w:tcW w:w="1978"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hint="eastAsia" w:ascii="Calibri" w:hAnsi="Calibri" w:cs="Calibri"/>
                <w:bCs/>
                <w:sz w:val="21"/>
                <w:szCs w:val="21"/>
              </w:rPr>
              <w:t>番禺院区</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已建</w:t>
            </w:r>
            <w:r>
              <w:rPr>
                <w:rFonts w:ascii="Calibri" w:hAnsi="Calibri" w:cs="Calibri"/>
                <w:b/>
                <w:bCs/>
                <w:sz w:val="21"/>
                <w:szCs w:val="22"/>
              </w:rPr>
              <w:t>1</w:t>
            </w:r>
            <w:r>
              <w:rPr>
                <w:rFonts w:hint="eastAsia" w:ascii="Calibri" w:hAnsi="Calibri" w:cs="Calibri"/>
                <w:b/>
                <w:bCs/>
                <w:sz w:val="21"/>
                <w:szCs w:val="22"/>
              </w:rPr>
              <w:t>台备份一体机</w:t>
            </w:r>
          </w:p>
        </w:tc>
        <w:tc>
          <w:tcPr>
            <w:tcW w:w="1985"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ascii="Calibri" w:hAnsi="Calibri" w:cs="Calibri"/>
                <w:bCs/>
                <w:sz w:val="21"/>
                <w:szCs w:val="21"/>
              </w:rPr>
              <w:t>File</w:t>
            </w:r>
            <w:r>
              <w:rPr>
                <w:rFonts w:hint="eastAsia" w:ascii="Calibri" w:hAnsi="Calibri" w:cs="Calibri"/>
                <w:bCs/>
                <w:sz w:val="21"/>
                <w:szCs w:val="21"/>
              </w:rPr>
              <w:t>、DB、VM、OS</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物理机41台</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虚拟机77台</w:t>
            </w:r>
          </w:p>
        </w:tc>
        <w:tc>
          <w:tcPr>
            <w:tcW w:w="1275"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200</w:t>
            </w:r>
            <w:r>
              <w:rPr>
                <w:rFonts w:hint="eastAsia" w:ascii="Calibri" w:hAnsi="Calibri" w:cs="Calibri"/>
                <w:bCs/>
                <w:sz w:val="21"/>
                <w:szCs w:val="21"/>
              </w:rPr>
              <w:t>T</w:t>
            </w:r>
          </w:p>
        </w:tc>
        <w:tc>
          <w:tcPr>
            <w:tcW w:w="156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50</w:t>
            </w:r>
            <w:r>
              <w:rPr>
                <w:rFonts w:hint="eastAsia" w:ascii="Calibri" w:hAnsi="Calibri" w:cs="Calibri"/>
                <w:bCs/>
                <w:sz w:val="21"/>
                <w:szCs w:val="21"/>
              </w:rPr>
              <w:t>T可用备份空间</w:t>
            </w:r>
          </w:p>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200</w:t>
            </w:r>
            <w:r>
              <w:rPr>
                <w:rFonts w:hint="eastAsia" w:ascii="Calibri" w:hAnsi="Calibri" w:cs="Calibri"/>
                <w:bCs/>
                <w:sz w:val="21"/>
                <w:szCs w:val="21"/>
              </w:rPr>
              <w:t>T磁带空间</w:t>
            </w:r>
          </w:p>
        </w:tc>
        <w:tc>
          <w:tcPr>
            <w:tcW w:w="197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rPr>
                <w:rFonts w:ascii="Calibri" w:hAnsi="Calibri" w:cs="Calibri"/>
                <w:bCs/>
                <w:sz w:val="21"/>
                <w:szCs w:val="21"/>
              </w:rPr>
            </w:pPr>
            <w:r>
              <w:rPr>
                <w:rFonts w:hint="eastAsia" w:ascii="Calibri" w:hAnsi="Calibri" w:cs="Calibri"/>
                <w:bCs/>
                <w:sz w:val="21"/>
                <w:szCs w:val="21"/>
              </w:rPr>
              <w:t>原已有备份设备从原有</w:t>
            </w:r>
            <w:r>
              <w:rPr>
                <w:rFonts w:ascii="Calibri" w:hAnsi="Calibri" w:cs="Calibri"/>
                <w:bCs/>
                <w:sz w:val="21"/>
                <w:szCs w:val="21"/>
              </w:rPr>
              <w:t>30</w:t>
            </w:r>
            <w:r>
              <w:rPr>
                <w:rFonts w:hint="eastAsia" w:ascii="Calibri" w:hAnsi="Calibri" w:cs="Calibri"/>
                <w:bCs/>
                <w:sz w:val="21"/>
                <w:szCs w:val="21"/>
              </w:rPr>
              <w:t>T扩容至</w:t>
            </w:r>
            <w:r>
              <w:rPr>
                <w:rFonts w:ascii="Calibri" w:hAnsi="Calibri" w:cs="Calibri"/>
                <w:bCs/>
                <w:sz w:val="21"/>
                <w:szCs w:val="21"/>
              </w:rPr>
              <w:t>50</w:t>
            </w:r>
            <w:r>
              <w:rPr>
                <w:rFonts w:hint="eastAsia" w:ascii="Calibri" w:hAnsi="Calibri" w:cs="Calibri"/>
                <w:bCs/>
                <w:sz w:val="21"/>
                <w:szCs w:val="21"/>
              </w:rPr>
              <w:t>T及升级备份系统架构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hint="eastAsia" w:ascii="Calibri" w:hAnsi="Calibri" w:cs="Calibri"/>
                <w:bCs/>
                <w:sz w:val="21"/>
                <w:szCs w:val="21"/>
              </w:rPr>
              <w:t>越秀院区</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规划1台备份一体机</w:t>
            </w:r>
          </w:p>
        </w:tc>
        <w:tc>
          <w:tcPr>
            <w:tcW w:w="1985"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w:t>
            </w:r>
          </w:p>
        </w:tc>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1</w:t>
            </w:r>
            <w:r>
              <w:rPr>
                <w:rFonts w:ascii="Calibri" w:hAnsi="Calibri" w:cs="Calibri"/>
                <w:bCs/>
                <w:sz w:val="21"/>
                <w:szCs w:val="21"/>
              </w:rPr>
              <w:t>50</w:t>
            </w:r>
            <w:r>
              <w:rPr>
                <w:rFonts w:hint="eastAsia" w:ascii="Calibri" w:hAnsi="Calibri" w:cs="Calibri"/>
                <w:bCs/>
                <w:sz w:val="21"/>
                <w:szCs w:val="21"/>
              </w:rPr>
              <w:t>T可用备份空间</w:t>
            </w:r>
          </w:p>
        </w:tc>
        <w:tc>
          <w:tcPr>
            <w:tcW w:w="197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rPr>
                <w:rFonts w:ascii="Calibri" w:hAnsi="Calibri" w:cs="Calibri"/>
                <w:bCs/>
                <w:sz w:val="21"/>
                <w:szCs w:val="21"/>
              </w:rPr>
            </w:pPr>
            <w:r>
              <w:rPr>
                <w:rFonts w:hint="eastAsia" w:ascii="Calibri" w:hAnsi="Calibri" w:cs="Calibri"/>
                <w:bCs/>
                <w:sz w:val="21"/>
                <w:szCs w:val="21"/>
              </w:rPr>
              <w:t>新建设</w:t>
            </w:r>
          </w:p>
        </w:tc>
      </w:tr>
    </w:tbl>
    <w:p>
      <w:pPr>
        <w:widowControl/>
        <w:spacing w:line="276" w:lineRule="auto"/>
        <w:ind w:firstLine="440" w:firstLineChars="200"/>
        <w:jc w:val="left"/>
        <w:rPr>
          <w:rFonts w:ascii="宋体" w:hAnsi="宋体" w:cs="宋体"/>
          <w:color w:val="000000"/>
          <w:sz w:val="22"/>
        </w:rPr>
      </w:pP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番禺院区备份设施扩容升级需求：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对原有已部署的备份一体机上扩容全新原厂硬盘，扩容至5</w:t>
      </w:r>
      <w:r>
        <w:rPr>
          <w:rFonts w:ascii="宋体" w:hAnsi="宋体" w:cs="宋体"/>
          <w:color w:val="000000"/>
          <w:sz w:val="22"/>
        </w:rPr>
        <w:t>0</w:t>
      </w:r>
      <w:r>
        <w:rPr>
          <w:rFonts w:hint="eastAsia" w:ascii="宋体" w:hAnsi="宋体" w:cs="宋体"/>
          <w:color w:val="000000"/>
          <w:sz w:val="22"/>
        </w:rPr>
        <w:t>TB可用容量软件授权许可。扩容完成之后，需确保对系统稳定性、性能无影响。原有备份数据零丢失，停机时间控制在1小时以内。</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对原有已部署的备份一体机需免费升级为最新备份架构版本，免费开发对接新购置灾备一体机平台，实现数据复制到备份中心，进行统一存储，作为异地数据中心的数据备份副本存放。提供备份集中管理，并支持远程复制策略的统一管理。</w:t>
      </w:r>
    </w:p>
    <w:p>
      <w:pPr>
        <w:widowControl/>
        <w:spacing w:line="276" w:lineRule="auto"/>
        <w:ind w:firstLine="440" w:firstLineChars="200"/>
        <w:jc w:val="left"/>
        <w:rPr>
          <w:rFonts w:ascii="宋体" w:hAnsi="宋体" w:cs="宋体"/>
          <w:color w:val="000000"/>
          <w:sz w:val="22"/>
        </w:rPr>
      </w:pP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越秀院区备份设施功能建设需求：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文件系统保护：支持Windows、Linux等平台下的文件系统定时备份与恢复。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操作系统保护：支持对Windows和Linux平台进行定时备份与恢复。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数据库保护：支持对Oracle、SQL Server、MySQL等主流数据库以及人大金仓、南大通用、达梦数据库等国产数据库进行定时备份与恢复。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虚拟化平台保护：支持对VMware、Hyper-V、Huawei FusionCompute、H3C CAS、深信服等主流虚拟机进行备份与恢复。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NAS存储数据保护：支持对于NAS存储中的数据进行定时备份与恢复。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数据离线归档：针对已完成备份任务，提供定时数据离线归档任务，可根据实际需求自定义归档策略，将备份数据归档到磁带设备中，实现离线备份。</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传输与加密：支持提供AES256、SM4多种高级加密算法，在数据传输和存储过程中，对于所有备份任务所产生的备份数据进行加密处理，确保备份数据安全。高级加密标准算法能避免数据泄露等安全问题，备份数据在传输和存储过程中将被加密，即使有人通过抓包等方式在数据传输过程中恶意截获备份数据，也将无法解析备份数据。如果有人试图通过插拔磁盘解密磁盘中的备份数据，当进行磁盘数据读取时，将无法解析磁盘中的数据。因而通过传输和存储加密，能够避免企业因为数据丢失或泄露所导致的业务损失等问题。</w:t>
      </w:r>
    </w:p>
    <w:p>
      <w:pPr>
        <w:widowControl/>
        <w:spacing w:line="276" w:lineRule="auto"/>
        <w:ind w:firstLine="440" w:firstLineChars="200"/>
        <w:jc w:val="left"/>
        <w:rPr>
          <w:rFonts w:ascii="宋体" w:hAnsi="宋体" w:cs="宋体"/>
          <w:color w:val="000000"/>
          <w:sz w:val="22"/>
        </w:rPr>
      </w:pPr>
    </w:p>
    <w:p>
      <w:pPr>
        <w:pStyle w:val="4"/>
        <w:spacing w:before="156" w:after="156"/>
        <w:ind w:left="0"/>
      </w:pPr>
      <w:r>
        <w:rPr>
          <w:rFonts w:hint="eastAsia"/>
        </w:rPr>
        <w:t>“备份数据离线归档”需求：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备份数据是勒索病毒防护的最后一道防线，并对所有关键数据进行定期离线归档备份。在数据长期保存方面，应与备份系统同步建设归档存储设备，可满足备份数据的可离线归档，应支持的归档存储设备包括：光盘库、磁带库等设备。在原始备份数据丢失或遭到破坏的情况下，利用磁带库数据把原始备份数据恢复出来，使业务数据能够恢复系统能够正常工作。以下是磁带库建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1．需求大存储容量。由于磁带库中可存放多盘磁带，因此磁带库的在线容量为n倍的单盘磁带容量。本次至少需要</w:t>
      </w:r>
      <w:r>
        <w:rPr>
          <w:rFonts w:ascii="宋体" w:hAnsi="宋体" w:cs="宋体"/>
          <w:color w:val="000000"/>
          <w:sz w:val="22"/>
        </w:rPr>
        <w:t>200</w:t>
      </w:r>
      <w:r>
        <w:rPr>
          <w:rFonts w:hint="eastAsia" w:ascii="宋体" w:hAnsi="宋体" w:cs="宋体"/>
          <w:color w:val="000000"/>
          <w:sz w:val="22"/>
        </w:rPr>
        <w:t>T物理磁带存储空间。同时需求对一个或多个备份作业其数据量大于单盘磁带容量的情况来说，能够实现自动换带，不需要系统管理员来人工更换磁带；同时磁带库的大容量加上磁带的轮换使用，使用户在几个月甚至一年内不需要打开磁带库的门来更换磁带。</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2．需求速度快。至少需要配备LOT</w:t>
      </w:r>
      <w:r>
        <w:rPr>
          <w:rFonts w:ascii="宋体" w:hAnsi="宋体" w:cs="宋体"/>
          <w:color w:val="000000"/>
          <w:sz w:val="22"/>
        </w:rPr>
        <w:t xml:space="preserve"> 7</w:t>
      </w:r>
      <w:r>
        <w:rPr>
          <w:rFonts w:hint="eastAsia" w:ascii="宋体" w:hAnsi="宋体" w:cs="宋体"/>
          <w:color w:val="000000"/>
          <w:sz w:val="22"/>
        </w:rPr>
        <w:t>磁带，因此数据备份、恢复、查询速度相应提高了数倍。提高磁带库的可用性。</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3.全自动操作。结合专业备份软件，通过高级备份功能，把电子病历、PACS 影像等数据备份到本地备份系统内置空间后，定期统一归档一份到磁带库中，实现数据的异地归档保留，可实现异地保护及恢复数据，充分满足现有法规要求。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4.备份数据更安全。由于磁带库有机械锁和软件锁双重保护，使不相关的人员根本无法接触到磁带，从而确保备份磁带的安全性。同时由于减少了人工磁带管理工作，避免了磁带搞混、丢失或错误处理。</w:t>
      </w:r>
    </w:p>
    <w:p>
      <w:pPr>
        <w:pStyle w:val="4"/>
        <w:spacing w:before="156" w:after="156"/>
        <w:ind w:left="0"/>
      </w:pPr>
      <w:r>
        <w:rPr>
          <w:rFonts w:hint="eastAsia"/>
        </w:rPr>
        <w:t>“主机容灾”需求：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我院信息化业务运行除HIS等核心数据库外，还需要依靠大量外围设备作为服务支撑。其中涉及4</w:t>
      </w:r>
      <w:r>
        <w:rPr>
          <w:rFonts w:ascii="宋体" w:hAnsi="宋体" w:cs="宋体"/>
          <w:color w:val="000000"/>
          <w:sz w:val="22"/>
        </w:rPr>
        <w:t>1+</w:t>
      </w:r>
      <w:r>
        <w:rPr>
          <w:rFonts w:hint="eastAsia" w:ascii="宋体" w:hAnsi="宋体" w:cs="宋体"/>
          <w:color w:val="000000"/>
          <w:sz w:val="22"/>
        </w:rPr>
        <w:t>台物理机，7</w:t>
      </w:r>
      <w:r>
        <w:rPr>
          <w:rFonts w:ascii="宋体" w:hAnsi="宋体" w:cs="宋体"/>
          <w:color w:val="000000"/>
          <w:sz w:val="22"/>
        </w:rPr>
        <w:t>7+</w:t>
      </w:r>
      <w:r>
        <w:rPr>
          <w:rFonts w:hint="eastAsia" w:ascii="宋体" w:hAnsi="宋体" w:cs="宋体"/>
          <w:color w:val="000000"/>
          <w:sz w:val="22"/>
        </w:rPr>
        <w:t>台虚拟机。一提供非结构化数据做支撑，主要涉及FTP、附件、文档等数据。二提供应用环境，主要涉及中间件服务支撑，业务软件安装在不同的存储设备中，安装环境架构复杂、文件多、目录结构深、海量小文件多。三提供轻量级数据库环境，超声、电生理、手术麻醉、病理、固定资产管理、财务管理等均需要独立数据库。</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主机容灾备份需求：</w:t>
      </w:r>
    </w:p>
    <w:tbl>
      <w:tblPr>
        <w:tblStyle w:val="45"/>
        <w:tblW w:w="10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2126"/>
        <w:gridCol w:w="1985"/>
        <w:gridCol w:w="1275"/>
        <w:gridCol w:w="1560"/>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位置</w:t>
            </w:r>
          </w:p>
        </w:tc>
        <w:tc>
          <w:tcPr>
            <w:tcW w:w="2126"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相关设备</w:t>
            </w:r>
          </w:p>
        </w:tc>
        <w:tc>
          <w:tcPr>
            <w:tcW w:w="1985"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关键数据备份</w:t>
            </w:r>
          </w:p>
        </w:tc>
        <w:tc>
          <w:tcPr>
            <w:tcW w:w="1275"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生产数据量</w:t>
            </w:r>
          </w:p>
        </w:tc>
        <w:tc>
          <w:tcPr>
            <w:tcW w:w="1560"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目标规划设施容量</w:t>
            </w:r>
          </w:p>
        </w:tc>
        <w:tc>
          <w:tcPr>
            <w:tcW w:w="1978"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hint="eastAsia" w:ascii="Calibri" w:hAnsi="Calibri" w:cs="Calibri"/>
                <w:bCs/>
                <w:sz w:val="21"/>
                <w:szCs w:val="21"/>
              </w:rPr>
              <w:t>番禺院区</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w:t>
            </w:r>
          </w:p>
        </w:tc>
        <w:tc>
          <w:tcPr>
            <w:tcW w:w="1985"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ascii="Calibri" w:hAnsi="Calibri" w:cs="Calibri"/>
                <w:bCs/>
                <w:sz w:val="21"/>
                <w:szCs w:val="21"/>
              </w:rPr>
              <w:t>File</w:t>
            </w:r>
            <w:r>
              <w:rPr>
                <w:rFonts w:hint="eastAsia" w:ascii="Calibri" w:hAnsi="Calibri" w:cs="Calibri"/>
                <w:bCs/>
                <w:sz w:val="21"/>
                <w:szCs w:val="21"/>
              </w:rPr>
              <w:t>、DB、VM、OS</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物理机4</w:t>
            </w:r>
            <w:r>
              <w:rPr>
                <w:rFonts w:ascii="Calibri" w:hAnsi="Calibri" w:cs="Calibri"/>
                <w:bCs/>
                <w:sz w:val="21"/>
                <w:szCs w:val="21"/>
              </w:rPr>
              <w:t>0</w:t>
            </w:r>
            <w:r>
              <w:rPr>
                <w:rFonts w:hint="eastAsia" w:ascii="Calibri" w:hAnsi="Calibri" w:cs="Calibri"/>
                <w:bCs/>
                <w:sz w:val="21"/>
                <w:szCs w:val="21"/>
              </w:rPr>
              <w:t>台</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虚拟机</w:t>
            </w:r>
            <w:r>
              <w:rPr>
                <w:rFonts w:ascii="Calibri" w:hAnsi="Calibri" w:cs="Calibri"/>
                <w:bCs/>
                <w:sz w:val="21"/>
                <w:szCs w:val="21"/>
              </w:rPr>
              <w:t>76</w:t>
            </w:r>
            <w:r>
              <w:rPr>
                <w:rFonts w:hint="eastAsia" w:ascii="Calibri" w:hAnsi="Calibri" w:cs="Calibri"/>
                <w:bCs/>
                <w:sz w:val="21"/>
                <w:szCs w:val="21"/>
              </w:rPr>
              <w:t>台</w:t>
            </w:r>
          </w:p>
        </w:tc>
        <w:tc>
          <w:tcPr>
            <w:tcW w:w="1275"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37</w:t>
            </w:r>
            <w:r>
              <w:rPr>
                <w:rFonts w:hint="eastAsia" w:ascii="Calibri" w:hAnsi="Calibri" w:cs="Calibri"/>
                <w:bCs/>
                <w:sz w:val="21"/>
                <w:szCs w:val="21"/>
              </w:rPr>
              <w:t>T</w:t>
            </w:r>
          </w:p>
        </w:tc>
        <w:tc>
          <w:tcPr>
            <w:tcW w:w="156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w:t>
            </w:r>
          </w:p>
        </w:tc>
        <w:tc>
          <w:tcPr>
            <w:tcW w:w="197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rPr>
                <w:rFonts w:ascii="Calibri" w:hAnsi="Calibri" w:cs="Calibri"/>
                <w:bCs/>
                <w:sz w:val="21"/>
                <w:szCs w:val="21"/>
              </w:rPr>
            </w:pPr>
            <w:r>
              <w:rPr>
                <w:rFonts w:hint="eastAsia" w:ascii="Calibri" w:hAnsi="Calibri" w:cs="Calibri"/>
                <w:bCs/>
                <w:sz w:val="21"/>
                <w:szCs w:val="21"/>
              </w:rPr>
              <w:t>两地带宽1</w:t>
            </w:r>
            <w:r>
              <w:rPr>
                <w:rFonts w:ascii="Calibri" w:hAnsi="Calibri" w:cs="Calibri"/>
                <w:bCs/>
                <w:sz w:val="21"/>
                <w:szCs w:val="21"/>
              </w:rPr>
              <w:t>0</w:t>
            </w:r>
            <w:r>
              <w:rPr>
                <w:rFonts w:hint="eastAsia" w:ascii="Calibri" w:hAnsi="Calibri" w:cs="Calibri"/>
                <w:bCs/>
                <w:sz w:val="21"/>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hint="eastAsia" w:ascii="Calibri" w:hAnsi="Calibri" w:cs="Calibri"/>
                <w:bCs/>
                <w:sz w:val="21"/>
                <w:szCs w:val="21"/>
              </w:rPr>
              <w:t>越秀院区</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规划1台CDP一体机</w:t>
            </w:r>
          </w:p>
        </w:tc>
        <w:tc>
          <w:tcPr>
            <w:tcW w:w="1985"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w:t>
            </w:r>
          </w:p>
        </w:tc>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ascii="Calibri" w:hAnsi="Calibri" w:cs="Calibri"/>
                <w:bCs/>
                <w:sz w:val="21"/>
                <w:szCs w:val="21"/>
              </w:rPr>
              <w:t>60</w:t>
            </w:r>
            <w:r>
              <w:rPr>
                <w:rFonts w:hint="eastAsia" w:ascii="Calibri" w:hAnsi="Calibri" w:cs="Calibri"/>
                <w:bCs/>
                <w:sz w:val="21"/>
                <w:szCs w:val="21"/>
              </w:rPr>
              <w:t>T（可用空间）</w:t>
            </w:r>
          </w:p>
        </w:tc>
        <w:tc>
          <w:tcPr>
            <w:tcW w:w="197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rPr>
                <w:rFonts w:ascii="Calibri" w:hAnsi="Calibri" w:cs="Calibri"/>
                <w:bCs/>
                <w:sz w:val="21"/>
                <w:szCs w:val="21"/>
              </w:rPr>
            </w:pPr>
            <w:r>
              <w:rPr>
                <w:rFonts w:hint="eastAsia" w:ascii="Calibri" w:hAnsi="Calibri" w:cs="Calibri"/>
                <w:bCs/>
                <w:sz w:val="21"/>
                <w:szCs w:val="21"/>
              </w:rPr>
              <w:t>新建设</w:t>
            </w:r>
          </w:p>
        </w:tc>
      </w:tr>
    </w:tbl>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1.</w:t>
      </w:r>
      <w:r>
        <w:rPr>
          <w:rFonts w:hint="eastAsia" w:ascii="宋体" w:hAnsi="宋体" w:cs="宋体"/>
          <w:color w:val="000000"/>
          <w:sz w:val="22"/>
        </w:rPr>
        <w:t>基于整机完整性实时的数据备份，可以保证应用服务器任意时刻</w:t>
      </w:r>
      <w:r>
        <w:rPr>
          <w:rFonts w:ascii="宋体" w:hAnsi="宋体" w:cs="宋体"/>
          <w:color w:val="000000"/>
          <w:sz w:val="22"/>
        </w:rPr>
        <w:t>I/O</w:t>
      </w:r>
      <w:r>
        <w:rPr>
          <w:rFonts w:hint="eastAsia" w:ascii="宋体" w:hAnsi="宋体" w:cs="宋体"/>
          <w:color w:val="000000"/>
          <w:sz w:val="22"/>
        </w:rPr>
        <w:t>级别的数据安全，数据恢复后可立即作为第二生产中心应急使用，支持基于</w:t>
      </w:r>
      <w:r>
        <w:rPr>
          <w:rFonts w:ascii="宋体" w:hAnsi="宋体" w:cs="宋体"/>
          <w:color w:val="000000"/>
          <w:sz w:val="22"/>
        </w:rPr>
        <w:t>P2P</w:t>
      </w:r>
      <w:r>
        <w:rPr>
          <w:rFonts w:hint="eastAsia" w:ascii="宋体" w:hAnsi="宋体" w:cs="宋体"/>
          <w:color w:val="000000"/>
          <w:sz w:val="22"/>
        </w:rPr>
        <w:t>、</w:t>
      </w:r>
      <w:r>
        <w:rPr>
          <w:rFonts w:ascii="宋体" w:hAnsi="宋体" w:cs="宋体"/>
          <w:color w:val="000000"/>
          <w:sz w:val="22"/>
        </w:rPr>
        <w:t>P2V</w:t>
      </w:r>
      <w:r>
        <w:rPr>
          <w:rFonts w:hint="eastAsia" w:ascii="宋体" w:hAnsi="宋体" w:cs="宋体"/>
          <w:color w:val="000000"/>
          <w:sz w:val="22"/>
        </w:rPr>
        <w:t>、</w:t>
      </w:r>
      <w:r>
        <w:rPr>
          <w:rFonts w:ascii="宋体" w:hAnsi="宋体" w:cs="宋体"/>
          <w:color w:val="000000"/>
          <w:sz w:val="22"/>
        </w:rPr>
        <w:t>V2V</w:t>
      </w:r>
      <w:r>
        <w:rPr>
          <w:rFonts w:hint="eastAsia" w:ascii="宋体" w:hAnsi="宋体" w:cs="宋体"/>
          <w:color w:val="000000"/>
          <w:sz w:val="22"/>
        </w:rPr>
        <w:t>、</w:t>
      </w:r>
      <w:r>
        <w:rPr>
          <w:rFonts w:ascii="宋体" w:hAnsi="宋体" w:cs="宋体"/>
          <w:color w:val="000000"/>
          <w:sz w:val="22"/>
        </w:rPr>
        <w:t>V2P</w:t>
      </w:r>
      <w:r>
        <w:rPr>
          <w:rFonts w:hint="eastAsia" w:ascii="宋体" w:hAnsi="宋体" w:cs="宋体"/>
          <w:color w:val="000000"/>
          <w:sz w:val="22"/>
        </w:rPr>
        <w:t>的应急、恢复，从应用程序服务的角度，提供磁盘镜像、数据副本、</w:t>
      </w:r>
      <w:r>
        <w:rPr>
          <w:rFonts w:ascii="宋体" w:hAnsi="宋体" w:cs="宋体"/>
          <w:color w:val="000000"/>
          <w:sz w:val="22"/>
        </w:rPr>
        <w:t>IO</w:t>
      </w:r>
      <w:r>
        <w:rPr>
          <w:rFonts w:hint="eastAsia" w:ascii="宋体" w:hAnsi="宋体" w:cs="宋体"/>
          <w:color w:val="000000"/>
          <w:sz w:val="22"/>
        </w:rPr>
        <w:t>日志、远程复制以及自动化数据恢复等全面的数据恢复功能，帮助信息科管理人员达到异构环境中的业务保护需求，并为实现业务连续性提供可靠方案。</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2.</w:t>
      </w:r>
      <w:r>
        <w:rPr>
          <w:rFonts w:hint="eastAsia" w:ascii="宋体" w:hAnsi="宋体" w:cs="宋体"/>
          <w:color w:val="000000"/>
          <w:sz w:val="22"/>
        </w:rPr>
        <w:t>可以对所有的业务系统进行保护，建立相应的磁盘备份任务，设置备份策略、备份计划，根据不同数据安全需求制定不同作业计划；在制定了实时或定时备份任务后，会在在指定时间发起备份命令，将生产数据压缩加密，将数据传给数据备份设备。</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w:t>
      </w:r>
      <w:r>
        <w:rPr>
          <w:rFonts w:ascii="宋体" w:hAnsi="宋体" w:cs="宋体"/>
          <w:color w:val="000000"/>
          <w:sz w:val="22"/>
        </w:rPr>
        <w:t>.</w:t>
      </w:r>
      <w:r>
        <w:rPr>
          <w:rFonts w:hint="eastAsia" w:ascii="宋体" w:hAnsi="宋体" w:cs="宋体"/>
          <w:color w:val="000000"/>
          <w:sz w:val="22"/>
        </w:rPr>
        <w:t>直接式数据恢复，实现服务器操作系统、应用软件、数据库、文件的一键式快速恢复，大幅减少业务中断时间，保障业务连续性。同时恢复时自动识别目标硬件</w:t>
      </w:r>
      <w:r>
        <w:rPr>
          <w:rFonts w:ascii="宋体" w:hAnsi="宋体" w:cs="宋体"/>
          <w:color w:val="000000"/>
          <w:sz w:val="22"/>
        </w:rPr>
        <w:t>/</w:t>
      </w:r>
      <w:r>
        <w:rPr>
          <w:rFonts w:hint="eastAsia" w:ascii="宋体" w:hAnsi="宋体" w:cs="宋体"/>
          <w:color w:val="000000"/>
          <w:sz w:val="22"/>
        </w:rPr>
        <w:t>虚拟化平台的</w:t>
      </w:r>
      <w:r>
        <w:rPr>
          <w:rFonts w:ascii="宋体" w:hAnsi="宋体" w:cs="宋体"/>
          <w:color w:val="000000"/>
          <w:sz w:val="22"/>
        </w:rPr>
        <w:t>PCI</w:t>
      </w:r>
      <w:r>
        <w:rPr>
          <w:rFonts w:hint="eastAsia" w:ascii="宋体" w:hAnsi="宋体" w:cs="宋体"/>
          <w:color w:val="000000"/>
          <w:sz w:val="22"/>
        </w:rPr>
        <w:t>设备，并虚拟化此</w:t>
      </w:r>
      <w:r>
        <w:rPr>
          <w:rFonts w:ascii="宋体" w:hAnsi="宋体" w:cs="宋体"/>
          <w:color w:val="000000"/>
          <w:sz w:val="22"/>
        </w:rPr>
        <w:t>PCI</w:t>
      </w:r>
      <w:r>
        <w:rPr>
          <w:rFonts w:hint="eastAsia" w:ascii="宋体" w:hAnsi="宋体" w:cs="宋体"/>
          <w:color w:val="000000"/>
          <w:sz w:val="22"/>
        </w:rPr>
        <w:t>硬件，动态注入对应的驱动到操作系统中，让操作系统能在新的硬件配置上正常启动。</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4</w:t>
      </w:r>
      <w:r>
        <w:rPr>
          <w:rFonts w:ascii="宋体" w:hAnsi="宋体" w:cs="宋体"/>
          <w:color w:val="000000"/>
          <w:sz w:val="22"/>
        </w:rPr>
        <w:t>.</w:t>
      </w:r>
      <w:r>
        <w:rPr>
          <w:rFonts w:hint="eastAsia" w:ascii="宋体" w:hAnsi="宋体" w:cs="宋体"/>
          <w:color w:val="000000"/>
          <w:sz w:val="22"/>
        </w:rPr>
        <w:t>当生产中心业务系统因为各种灾难导致出现宕机、数据丢失、文件破坏，造成业务中断时，本地灾备系统可即时启动接管功能，可以将故障系统在数分钟内通过内置虚拟机应急接管功能即时恢复至故障前状态，最大限度地保障业务连续性，减少数据丢失。</w:t>
      </w:r>
    </w:p>
    <w:p>
      <w:pPr>
        <w:pStyle w:val="4"/>
        <w:spacing w:before="156" w:after="156"/>
        <w:ind w:left="0"/>
      </w:pPr>
      <w:r>
        <w:rPr>
          <w:rFonts w:hint="eastAsia"/>
        </w:rPr>
        <w:t>“数据库容灾”需求：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我院除HIS、EMR有采用双服务器双活存储组建数据库集群（如Oracle</w:t>
      </w:r>
      <w:r>
        <w:rPr>
          <w:rFonts w:ascii="宋体" w:hAnsi="宋体" w:cs="宋体"/>
          <w:color w:val="000000"/>
          <w:sz w:val="22"/>
        </w:rPr>
        <w:t xml:space="preserve"> </w:t>
      </w:r>
      <w:r>
        <w:rPr>
          <w:rFonts w:hint="eastAsia" w:ascii="宋体" w:hAnsi="宋体" w:cs="宋体"/>
          <w:color w:val="000000"/>
          <w:sz w:val="22"/>
        </w:rPr>
        <w:t>RAC）方式，虽然能够一定程度上抵御硬件故障，但以下几个问题无法有效应对：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1.防范一些大型灾难故障，比如停电、着火等。</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2.防范逻辑错误，一旦数据库内部发生故障，利用数据库日志或备份点恢复数据。</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考虑到HIS、EMR等是医院最核心、实时性最高的业务系统，因此在有集群等高可用的基础上，HIS和EMR应配有独立完整数据的应急服务器作为备用容灾节点，其余的ODS、CDR、LIS、PACS等核心系统同样需要相关容灾措施建设。对不同业务进行规范统一的容灾同步集中式管理，现有数据库“容灾”需求：</w:t>
      </w:r>
    </w:p>
    <w:tbl>
      <w:tblPr>
        <w:tblStyle w:val="45"/>
        <w:tblW w:w="10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2551"/>
        <w:gridCol w:w="1843"/>
        <w:gridCol w:w="1134"/>
        <w:gridCol w:w="1418"/>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位置</w:t>
            </w:r>
          </w:p>
        </w:tc>
        <w:tc>
          <w:tcPr>
            <w:tcW w:w="2551"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相关设备</w:t>
            </w:r>
          </w:p>
        </w:tc>
        <w:tc>
          <w:tcPr>
            <w:tcW w:w="1843"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关键数据</w:t>
            </w:r>
          </w:p>
        </w:tc>
        <w:tc>
          <w:tcPr>
            <w:tcW w:w="1134"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生产数据量</w:t>
            </w:r>
          </w:p>
        </w:tc>
        <w:tc>
          <w:tcPr>
            <w:tcW w:w="1418"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规划设施容量</w:t>
            </w:r>
          </w:p>
        </w:tc>
        <w:tc>
          <w:tcPr>
            <w:tcW w:w="1978" w:type="dxa"/>
            <w:tcBorders>
              <w:top w:val="single" w:color="auto" w:sz="4" w:space="0"/>
              <w:left w:val="single" w:color="auto" w:sz="4" w:space="0"/>
              <w:bottom w:val="single" w:color="auto" w:sz="4" w:space="0"/>
              <w:right w:val="single" w:color="auto" w:sz="4" w:space="0"/>
            </w:tcBorders>
            <w:shd w:val="clear" w:color="auto" w:fill="CCCCCC"/>
            <w:vAlign w:val="center"/>
          </w:tcPr>
          <w:p>
            <w:pPr>
              <w:spacing w:before="78" w:beforeLines="25" w:after="78" w:afterLines="25" w:line="240" w:lineRule="auto"/>
              <w:jc w:val="center"/>
              <w:rPr>
                <w:rFonts w:ascii="Calibri" w:hAnsi="Calibri" w:cs="Calibri"/>
                <w:b/>
                <w:bCs/>
                <w:sz w:val="21"/>
              </w:rPr>
            </w:pPr>
            <w:r>
              <w:rPr>
                <w:rFonts w:hint="eastAsia" w:ascii="Calibri" w:hAnsi="Calibri" w:cs="Calibri"/>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hint="eastAsia" w:ascii="Calibri" w:hAnsi="Calibri" w:cs="Calibri"/>
                <w:bCs/>
                <w:sz w:val="21"/>
                <w:szCs w:val="21"/>
              </w:rPr>
              <w:t>番禺院区</w:t>
            </w:r>
          </w:p>
        </w:tc>
        <w:tc>
          <w:tcPr>
            <w:tcW w:w="2551"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HIS数据库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EMR数据库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集成平台ODS库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集成平台CDR库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临床工作站库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LIS数据库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PACS数据库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统一授权管理库</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ESB服务总线库</w:t>
            </w:r>
          </w:p>
        </w:tc>
        <w:tc>
          <w:tcPr>
            <w:tcW w:w="1134"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30T</w:t>
            </w:r>
          </w:p>
        </w:tc>
        <w:tc>
          <w:tcPr>
            <w:tcW w:w="141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ascii="Calibri" w:hAnsi="Calibri" w:cs="Calibri"/>
                <w:bCs/>
                <w:sz w:val="21"/>
                <w:szCs w:val="21"/>
              </w:rPr>
              <w:t>-</w:t>
            </w:r>
          </w:p>
        </w:tc>
        <w:tc>
          <w:tcPr>
            <w:tcW w:w="197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rPr>
                <w:rFonts w:ascii="Calibri" w:hAnsi="Calibri" w:cs="Calibri"/>
                <w:bCs/>
                <w:sz w:val="21"/>
                <w:szCs w:val="21"/>
              </w:rPr>
            </w:pPr>
            <w:r>
              <w:rPr>
                <w:rFonts w:hint="eastAsia" w:ascii="Calibri" w:hAnsi="Calibri" w:cs="Calibri"/>
                <w:bCs/>
                <w:sz w:val="21"/>
                <w:szCs w:val="21"/>
              </w:rPr>
              <w:t>两地带宽1</w:t>
            </w:r>
            <w:r>
              <w:rPr>
                <w:rFonts w:ascii="Calibri" w:hAnsi="Calibri" w:cs="Calibri"/>
                <w:bCs/>
                <w:sz w:val="21"/>
                <w:szCs w:val="21"/>
              </w:rPr>
              <w:t>0</w:t>
            </w:r>
            <w:r>
              <w:rPr>
                <w:rFonts w:hint="eastAsia" w:ascii="Calibri" w:hAnsi="Calibri" w:cs="Calibri"/>
                <w:bCs/>
                <w:sz w:val="21"/>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Cs/>
                <w:sz w:val="21"/>
                <w:szCs w:val="21"/>
              </w:rPr>
            </w:pPr>
            <w:r>
              <w:rPr>
                <w:rFonts w:hint="eastAsia" w:ascii="Calibri" w:hAnsi="Calibri" w:cs="Calibri"/>
                <w:bCs/>
                <w:sz w:val="21"/>
                <w:szCs w:val="21"/>
              </w:rPr>
              <w:t>越秀院区</w:t>
            </w:r>
          </w:p>
        </w:tc>
        <w:tc>
          <w:tcPr>
            <w:tcW w:w="2551"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规划3台超融合一体机</w:t>
            </w:r>
          </w:p>
          <w:p>
            <w:pPr>
              <w:spacing w:before="78" w:beforeLines="25" w:after="78" w:afterLines="25" w:line="240" w:lineRule="auto"/>
              <w:jc w:val="center"/>
              <w:rPr>
                <w:rFonts w:ascii="Calibri" w:hAnsi="Calibri" w:cs="Calibri"/>
                <w:b/>
                <w:bCs/>
                <w:sz w:val="21"/>
                <w:szCs w:val="22"/>
              </w:rPr>
            </w:pPr>
            <w:r>
              <w:rPr>
                <w:rFonts w:hint="eastAsia" w:ascii="Calibri" w:hAnsi="Calibri" w:cs="Calibri"/>
                <w:b/>
                <w:bCs/>
                <w:sz w:val="21"/>
                <w:szCs w:val="22"/>
              </w:rPr>
              <w:t>规划1套数据库同步软件</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建设不少于9台数据库虚拟机</w:t>
            </w:r>
          </w:p>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建设1台数据库同步管理平台</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hint="eastAsia" w:ascii="Calibri" w:hAnsi="Calibri" w:cs="Calibri"/>
                <w:bCs/>
                <w:sz w:val="21"/>
                <w:szCs w:val="21"/>
              </w:rPr>
              <w:t>-</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auto"/>
              <w:ind w:firstLine="29" w:firstLineChars="14"/>
              <w:jc w:val="center"/>
              <w:rPr>
                <w:rFonts w:ascii="Calibri" w:hAnsi="Calibri" w:cs="Calibri"/>
                <w:bCs/>
                <w:sz w:val="21"/>
                <w:szCs w:val="21"/>
              </w:rPr>
            </w:pPr>
            <w:r>
              <w:rPr>
                <w:rFonts w:ascii="Calibri" w:hAnsi="Calibri" w:cs="Calibri"/>
                <w:bCs/>
                <w:sz w:val="21"/>
                <w:szCs w:val="21"/>
              </w:rPr>
              <w:t>30T</w:t>
            </w:r>
          </w:p>
        </w:tc>
        <w:tc>
          <w:tcPr>
            <w:tcW w:w="1978" w:type="dxa"/>
            <w:tcBorders>
              <w:top w:val="single" w:color="auto" w:sz="4" w:space="0"/>
              <w:left w:val="single" w:color="auto" w:sz="4" w:space="0"/>
              <w:bottom w:val="single" w:color="auto" w:sz="4" w:space="0"/>
              <w:right w:val="single" w:color="auto" w:sz="4" w:space="0"/>
            </w:tcBorders>
            <w:vAlign w:val="center"/>
          </w:tcPr>
          <w:p>
            <w:pPr>
              <w:spacing w:before="78" w:beforeLines="25" w:after="78" w:afterLines="25" w:line="240" w:lineRule="auto"/>
              <w:rPr>
                <w:rFonts w:ascii="Calibri" w:hAnsi="Calibri" w:cs="Calibri"/>
                <w:bCs/>
                <w:sz w:val="21"/>
                <w:szCs w:val="21"/>
              </w:rPr>
            </w:pPr>
            <w:r>
              <w:rPr>
                <w:rFonts w:hint="eastAsia" w:ascii="Calibri" w:hAnsi="Calibri" w:cs="Calibri"/>
                <w:bCs/>
                <w:sz w:val="21"/>
                <w:szCs w:val="21"/>
              </w:rPr>
              <w:t>新建设</w:t>
            </w:r>
          </w:p>
        </w:tc>
      </w:tr>
    </w:tbl>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1.容灾中心需建设在异地越秀院区机房，当生产中心业务系统因为各种灾难导致服务器、存储设备、交换机等其他设备损坏业务系统无法访问时，容灾中心完全独立的1：1数据库系统能够在5</w:t>
      </w:r>
      <w:r>
        <w:rPr>
          <w:rFonts w:ascii="宋体" w:hAnsi="宋体" w:cs="宋体"/>
          <w:color w:val="000000"/>
          <w:sz w:val="22"/>
        </w:rPr>
        <w:t>-</w:t>
      </w:r>
      <w:r>
        <w:rPr>
          <w:rFonts w:hint="eastAsia" w:ascii="宋体" w:hAnsi="宋体" w:cs="宋体"/>
          <w:color w:val="000000"/>
          <w:sz w:val="22"/>
        </w:rPr>
        <w:t>10分钟内完成整个业务数据库系统，包括数据库启动停止的一键式接管，同时还要自动配置好相应的网络环境，确保用户能够直接访问容灾中心的业务数据库系统，从而实现数据库业务的快速恢复。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生产系统和容灾系统之间形成可以相互切换，相互恢复的容灾关系，生产系统出现异常或计划内维护时，生产系统可以简单的切换至容灾系统，容灾系统替代生产系统提供服务；生产系统硬设备复原之后，容灾系统初始化后可以回切至生产系统。</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3.容灾系统需具历史状态回退。对于业务系统因为中病毒／人为误删／误改导致的数据丢失可以在容灾系统中找回历史状态时间点，可对整个容灾系统回退到指定时间点，因逻辑性故障导致业务中断问题。</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4</w:t>
      </w:r>
      <w:r>
        <w:rPr>
          <w:rFonts w:hint="eastAsia" w:ascii="宋体" w:hAnsi="宋体" w:cs="宋体"/>
          <w:color w:val="000000"/>
          <w:sz w:val="22"/>
        </w:rPr>
        <w:t>.建设后容灾数据库为可读模式，后续我院查询业务转移至容灾库进行。</w:t>
      </w:r>
    </w:p>
    <w:p>
      <w:pPr>
        <w:widowControl/>
        <w:spacing w:line="276" w:lineRule="auto"/>
        <w:jc w:val="left"/>
        <w:rPr>
          <w:rFonts w:ascii="宋体" w:hAnsi="宋体" w:cs="宋体"/>
          <w:color w:val="000000"/>
          <w:sz w:val="22"/>
        </w:rPr>
      </w:pPr>
    </w:p>
    <w:p>
      <w:pPr>
        <w:pStyle w:val="4"/>
        <w:spacing w:before="156" w:after="156"/>
        <w:ind w:left="0"/>
      </w:pPr>
      <w:r>
        <w:rPr>
          <w:rFonts w:hint="eastAsia"/>
        </w:rPr>
        <w:t>“数据防勒索”需求：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考虑数据灾备方案的同时，亦需要考虑数据存放安全问题。当其对文件、数据加密和修改时，往往是无法恢复，只能就范或舍弃数据，导致医院损失重大。容灾端数据库作为最后一道防线，其底层数据文件需要保障完整可用。否则整个容灾系统形同虚设。</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容灾端数据库系统需要采用独特的底层白名单技术，对文档、数据库文件进行主动防护，确保只有被允许的合法操作才能被执行，一切未被允许的操作都被禁止，避免勒索病毒对文件的加密和修改。即使业务系统未及时安装补丁，也可防止漏洞被利用进行勒索加密。这样即使有新的勒索病毒出现，容灾端数据库也可以全面无忧的防范新病毒的攻击，从根本上避免勒索病毒加密。</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1、容灾数据库文件保护</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容灾端数据库防勒索需求要提供数据库文件自动保护机制，将数据库各格式的文件加入保护列表，在保护列表的文件只有经过授权的应用程序才能进行更新，如Oracle文件只能被Oracle写入更新。数据库保护是防勒索保护中的重要内容，针对数据保护，容灾端数据库防勒索内置数据库文件保护引擎，使数据库文件免受勒索病毒的加密和删除，目前支持Oracle、Sql Server、Mysql、DB2等主流数据库。</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2、数据库主机保护</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目前容灾环境是数据库主机提供服务。数据库主机作为容灾应用程序、数据库程序运行的载体，部署完成投入使用后仅运行特定的应用程序，除了程序升级外，不需要安装新的应用程序。针对此种使用场景，容灾端数据库匹配设置堡垒模式，在堡垒模式下，禁止任何新的程序在数据库主机上运行，包括勒索软件、已知勒索病毒、未知勒索病毒、挖矿病毒等。</w:t>
      </w:r>
    </w:p>
    <w:p>
      <w:pPr>
        <w:widowControl/>
        <w:spacing w:line="276" w:lineRule="auto"/>
        <w:ind w:firstLine="440" w:firstLineChars="200"/>
        <w:jc w:val="left"/>
        <w:rPr>
          <w:rFonts w:ascii="宋体" w:hAnsi="宋体" w:cs="宋体"/>
          <w:color w:val="000000"/>
          <w:sz w:val="22"/>
        </w:rPr>
      </w:pPr>
    </w:p>
    <w:p>
      <w:pPr>
        <w:pStyle w:val="4"/>
        <w:spacing w:before="156" w:after="156"/>
        <w:ind w:left="0"/>
      </w:pPr>
      <w:r>
        <w:rPr>
          <w:rFonts w:hint="eastAsia"/>
        </w:rPr>
        <w:t>“灾备集中管控运营管理”需求：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业务连续性管理对于医院是最核心的容灾建设目标，本次项目我院要建成以RTO为目标的容灾运营管理体系。具体实现以容灾集中管控平台为中心，能够将本院涉及业务系统相关的灾备技术实进行现统一集中管理，实现以下核心功能目标：</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w:t>
      </w:r>
      <w:r>
        <w:rPr>
          <w:rFonts w:ascii="宋体" w:hAnsi="宋体" w:cs="宋体"/>
          <w:color w:val="000000"/>
          <w:sz w:val="22"/>
        </w:rPr>
        <w:t>.</w:t>
      </w:r>
      <w:r>
        <w:rPr>
          <w:rFonts w:hint="eastAsia" w:ascii="宋体" w:hAnsi="宋体" w:cs="宋体"/>
          <w:color w:val="000000"/>
          <w:sz w:val="22"/>
        </w:rPr>
        <w:t>为保证相关容灾备份设施建成后，有相应的闭环管控，实现灾备集中、高效管控，减少灾难发生时人工处置时间，提高灾备RTO。灾备集中管控中心需要支持但不限于本期建设的备份系统、CDP主机容灾系统、数据库容灾同步系统。同时需支持开发对接第三方灾备管控，如原生数据库容灾技术纳管（Oracle DataGuard、SqlServer alwayson、MySQL Replication、DB2 Hadr、Redis 主从集群、MongoDB 主从、达梦数据守护集群、Informix HDR）、虚拟化平台V</w:t>
      </w:r>
      <w:r>
        <w:rPr>
          <w:rFonts w:ascii="宋体" w:hAnsi="宋体" w:cs="宋体"/>
          <w:color w:val="000000"/>
          <w:sz w:val="22"/>
        </w:rPr>
        <w:t>m</w:t>
      </w:r>
      <w:r>
        <w:rPr>
          <w:rFonts w:hint="eastAsia" w:ascii="宋体" w:hAnsi="宋体" w:cs="宋体"/>
          <w:color w:val="000000"/>
          <w:sz w:val="22"/>
        </w:rPr>
        <w:t>ware纳管、Veeam备份纳管、NetBackup备份纳管等。由投标人承诺解决，并在标书中提供承诺函。</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2</w:t>
      </w:r>
      <w:r>
        <w:rPr>
          <w:rFonts w:hint="eastAsia" w:ascii="宋体" w:hAnsi="宋体" w:cs="宋体"/>
          <w:color w:val="000000"/>
          <w:sz w:val="22"/>
        </w:rPr>
        <w:t>．</w:t>
      </w:r>
      <w:r>
        <w:rPr>
          <w:rFonts w:hint="eastAsia" w:ascii="宋体" w:hAnsi="宋体" w:cs="宋体"/>
          <w:color w:val="000000"/>
          <w:sz w:val="22"/>
        </w:rPr>
        <w:tab/>
      </w:r>
      <w:r>
        <w:rPr>
          <w:rFonts w:hint="eastAsia" w:ascii="宋体" w:hAnsi="宋体" w:cs="宋体"/>
          <w:color w:val="000000"/>
          <w:sz w:val="22"/>
        </w:rPr>
        <w:t>对灾备资源进行实时运行状态监控、告警；</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3</w:t>
      </w:r>
      <w:r>
        <w:rPr>
          <w:rFonts w:hint="eastAsia" w:ascii="宋体" w:hAnsi="宋体" w:cs="宋体"/>
          <w:color w:val="000000"/>
          <w:sz w:val="22"/>
        </w:rPr>
        <w:t>．</w:t>
      </w:r>
      <w:r>
        <w:rPr>
          <w:rFonts w:hint="eastAsia" w:ascii="宋体" w:hAnsi="宋体" w:cs="宋体"/>
          <w:color w:val="000000"/>
          <w:sz w:val="22"/>
        </w:rPr>
        <w:tab/>
      </w:r>
      <w:r>
        <w:rPr>
          <w:rFonts w:hint="eastAsia" w:ascii="宋体" w:hAnsi="宋体" w:cs="宋体"/>
          <w:color w:val="000000"/>
          <w:sz w:val="22"/>
        </w:rPr>
        <w:t>根据本院业务流程进行容灾资源的灵活编排，以满足不同场景、不同业务、不同层次的容灾预案管理需求；</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4</w:t>
      </w:r>
      <w:r>
        <w:rPr>
          <w:rFonts w:hint="eastAsia" w:ascii="宋体" w:hAnsi="宋体" w:cs="宋体"/>
          <w:color w:val="000000"/>
          <w:sz w:val="22"/>
        </w:rPr>
        <w:t>．</w:t>
      </w:r>
      <w:r>
        <w:rPr>
          <w:rFonts w:hint="eastAsia" w:ascii="宋体" w:hAnsi="宋体" w:cs="宋体"/>
          <w:color w:val="000000"/>
          <w:sz w:val="22"/>
        </w:rPr>
        <w:tab/>
      </w:r>
      <w:r>
        <w:rPr>
          <w:rFonts w:hint="eastAsia" w:ascii="宋体" w:hAnsi="宋体" w:cs="宋体"/>
          <w:color w:val="000000"/>
          <w:sz w:val="22"/>
        </w:rPr>
        <w:t>在不影响业务的情况下能够安全高效地进行容灾演练，制定规范的演练流程、根据应对不同灾难风险随时开展桌面演练，检验容灾系统的可用性、完整性、可靠性、RTO目标；</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5</w:t>
      </w:r>
      <w:r>
        <w:rPr>
          <w:rFonts w:hint="eastAsia" w:ascii="宋体" w:hAnsi="宋体" w:cs="宋体"/>
          <w:color w:val="000000"/>
          <w:sz w:val="22"/>
        </w:rPr>
        <w:t>．</w:t>
      </w:r>
      <w:r>
        <w:rPr>
          <w:rFonts w:hint="eastAsia" w:ascii="宋体" w:hAnsi="宋体" w:cs="宋体"/>
          <w:color w:val="000000"/>
          <w:sz w:val="22"/>
        </w:rPr>
        <w:tab/>
      </w:r>
      <w:r>
        <w:rPr>
          <w:rFonts w:hint="eastAsia" w:ascii="宋体" w:hAnsi="宋体" w:cs="宋体"/>
          <w:color w:val="000000"/>
          <w:sz w:val="22"/>
        </w:rPr>
        <w:t>在业务发生故障时能够一键进行容灾切换，将故障业务快速切换至备机继续提供相应服务，实现自动化、流程化、高效地灾难故障应急响应，保障业务的连续性；</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6</w:t>
      </w:r>
      <w:r>
        <w:rPr>
          <w:rFonts w:hint="eastAsia" w:ascii="宋体" w:hAnsi="宋体" w:cs="宋体"/>
          <w:color w:val="000000"/>
          <w:sz w:val="22"/>
        </w:rPr>
        <w:t>．</w:t>
      </w:r>
      <w:r>
        <w:rPr>
          <w:rFonts w:hint="eastAsia" w:ascii="宋体" w:hAnsi="宋体" w:cs="宋体"/>
          <w:color w:val="000000"/>
          <w:sz w:val="22"/>
        </w:rPr>
        <w:tab/>
      </w:r>
      <w:r>
        <w:rPr>
          <w:rFonts w:hint="eastAsia" w:ascii="宋体" w:hAnsi="宋体" w:cs="宋体"/>
          <w:color w:val="000000"/>
          <w:sz w:val="22"/>
        </w:rPr>
        <w:t>通过容灾集中管控平台提供容灾集中监控大屏、容灾应急切换指挥大屏让容灾应急管理指挥状态可视、过程可见、高效指挥。</w:t>
      </w:r>
    </w:p>
    <w:p>
      <w:pPr>
        <w:pStyle w:val="4"/>
        <w:spacing w:before="156" w:after="156"/>
        <w:ind w:left="0"/>
      </w:pPr>
      <w:r>
        <w:rPr>
          <w:rFonts w:hint="eastAsia"/>
        </w:rPr>
        <w:t>“灾备预案编排”服务需求：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含</w:t>
      </w:r>
      <w:r>
        <w:rPr>
          <w:rFonts w:ascii="宋体" w:hAnsi="宋体" w:cs="宋体"/>
          <w:color w:val="000000"/>
          <w:sz w:val="22"/>
        </w:rPr>
        <w:t>10</w:t>
      </w:r>
      <w:r>
        <w:rPr>
          <w:rFonts w:hint="eastAsia" w:ascii="宋体" w:hAnsi="宋体" w:cs="宋体"/>
          <w:color w:val="000000"/>
          <w:sz w:val="22"/>
        </w:rPr>
        <w:t>人天现场，提供资产梳理、脚本编写、预案编排、计划演练保障等服务。</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容灾编排是灾难恢复计划的核心部分，涉及到在灾难发生时如何快速、有效地恢复业务系统。为了实现这个目标，供应商应提供“灾备预案编排”服务，例如备份策略、数据复制、恢复流程、人员培训等。帮助管理人员更好地了解恢复流程和备份策略，从而优化灾难恢复计划。此外，还需要对相关人员进行培训，以确保我院相关人员具备必要的技能和知识，从而在灾难发生时能够有效地执行恢复流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在资产梳理方面，供应商在前期现场参与调研了解的业务系统，包括系统架构、数据存储、备份策略等，并对现有的IT资产进行全面的盘点和记录。确保在灾难发生时，能够快速定位并恢复关键资产。</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在脚本编写方面，供应商根据业务恢复流程编写详细的脚本，包括业务恢复预案脚本等。这些脚本会在灾难发生时自动执行，从而快速恢复业务系统。</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在预案编排方面，供应商制定详细的灾难恢复预案，包括恢复流程、恢复点目标、恢复时间目标等。确保预案的合理性和可操作性，以确保在灾难发生时能够快速执行预案。</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在计划演练保障方面，供应商提供定期的计划演练服务，以确保恢复流程的顺畅和有效。在每次演练后提供详细的报告和分析，以便了解演练结果和改进方案。</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综上所述，供应商需提供容灾编排服务，确保在灾难发生时能够快速、有效地恢复业务系统。</w:t>
      </w:r>
    </w:p>
    <w:p>
      <w:pPr>
        <w:pStyle w:val="4"/>
        <w:spacing w:before="156" w:after="156"/>
        <w:ind w:left="0"/>
      </w:pPr>
      <w:r>
        <w:rPr>
          <w:rFonts w:hint="eastAsia"/>
        </w:rPr>
        <w:t>“数据迁移”服务需求：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提供所有需迁移的核心数据库的迁移工作，工作内容包括：项目系统调研，制定数据库迁移方案，操作系统参数优化，数据库软件安装，模拟迁移及正式迁移和迁移后的保障工作。</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此次数据迁移服务，涉及番禺院区业务及应用系统，从旧物理服务器上迁移到新生产虚拟化系统上。同时,还需要在系统迁移后，对访问系统的客户端进行调试，确保各个客户端能够正常访问系统。</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“数据迁移”服务要求，对迁移到新主机上的数据及环境进行可用性测试，功能性测试、集成测试，性能测试、稳定性测试，并对有问题的地方进行初步优化，进行模拟的切换测试，保证数据顺利割接。</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w:t>
      </w:r>
      <w:r>
        <w:rPr>
          <w:rFonts w:hint="eastAsia" w:ascii="宋体" w:hAnsi="宋体" w:cs="宋体"/>
          <w:color w:val="000000"/>
          <w:sz w:val="22"/>
        </w:rPr>
        <w:tab/>
      </w:r>
      <w:r>
        <w:rPr>
          <w:rFonts w:hint="eastAsia" w:ascii="宋体" w:hAnsi="宋体" w:cs="宋体"/>
          <w:color w:val="000000"/>
          <w:sz w:val="22"/>
        </w:rPr>
        <w:t>测试脚本撰写、测试用例、测试数据、测试报告：迁移实施方、应用开发商应一起对被迁移的应用系统创建测试用例和测试脚本，选择合适的测试数据和测试样例，确认迁移数据在系统迁移到云平台环境后的有效性，进行有计划的测试。迁移实施方应和应用系统开发商执行测试脚本，并在测试结果基础上生成报告</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w:t>
      </w:r>
      <w:r>
        <w:rPr>
          <w:rFonts w:hint="eastAsia" w:ascii="宋体" w:hAnsi="宋体" w:cs="宋体"/>
          <w:color w:val="000000"/>
          <w:sz w:val="22"/>
        </w:rPr>
        <w:tab/>
      </w:r>
      <w:r>
        <w:rPr>
          <w:rFonts w:hint="eastAsia" w:ascii="宋体" w:hAnsi="宋体" w:cs="宋体"/>
          <w:color w:val="000000"/>
          <w:sz w:val="22"/>
        </w:rPr>
        <w:t>功能性测试：功能性测试对云平台的业务应用系统进行功能性测试，并与原服务器进行对比，确保应用系统在平台迁移后所有功能工作正常，可采用手工测试或者自动化测试工具。对于迁移后应用系统，重点测试新环境下对应用业务的影响，可不过多的进行业务逻辑性测试。对于新的业务系统，需要进行完整的业务逻辑性测试。</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w:t>
      </w:r>
      <w:r>
        <w:rPr>
          <w:rFonts w:hint="eastAsia" w:ascii="宋体" w:hAnsi="宋体" w:cs="宋体"/>
          <w:color w:val="000000"/>
          <w:sz w:val="22"/>
        </w:rPr>
        <w:tab/>
      </w:r>
      <w:r>
        <w:rPr>
          <w:rFonts w:hint="eastAsia" w:ascii="宋体" w:hAnsi="宋体" w:cs="宋体"/>
          <w:color w:val="000000"/>
          <w:sz w:val="22"/>
        </w:rPr>
        <w:t>性能测试：在测试云平台的性能测试中，主要采用压力软件在压力机上对应用系统进行压力测试，或者采用人工脚本进行压力性测试，从而衡量应用系统对主机的资源消耗及由此产生的对物理机的资源消耗从而更好的掌握应用系统的性能需求，验证云平台是否能满足业务系统的性能需求。性能测试可在验证环境平台进行，如测试云平台条件满足也在进行相关测试。</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4)</w:t>
      </w:r>
      <w:r>
        <w:rPr>
          <w:rFonts w:hint="eastAsia" w:ascii="宋体" w:hAnsi="宋体" w:cs="宋体"/>
          <w:color w:val="000000"/>
          <w:sz w:val="22"/>
        </w:rPr>
        <w:tab/>
      </w:r>
      <w:r>
        <w:rPr>
          <w:rFonts w:hint="eastAsia" w:ascii="宋体" w:hAnsi="宋体" w:cs="宋体"/>
          <w:color w:val="000000"/>
          <w:sz w:val="22"/>
        </w:rPr>
        <w:t>稳定性测试：在稳定性测试中，可以利用一些压力工具软件(如Loadrunner等)进行压力测试，在一定周期内测试系统的稳定性，以保证应用系统在割接后能稳定运行。稳定性测试可在验证环境平台进行，如测试云平台条件满足也在进行相关测试。</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5)</w:t>
      </w:r>
      <w:r>
        <w:rPr>
          <w:rFonts w:hint="eastAsia" w:ascii="宋体" w:hAnsi="宋体" w:cs="宋体"/>
          <w:color w:val="000000"/>
          <w:sz w:val="22"/>
        </w:rPr>
        <w:tab/>
      </w:r>
      <w:r>
        <w:rPr>
          <w:rFonts w:hint="eastAsia" w:ascii="宋体" w:hAnsi="宋体" w:cs="宋体"/>
          <w:color w:val="000000"/>
          <w:sz w:val="22"/>
        </w:rPr>
        <w:t>系统优化：对测试过程中发现的系统问题，进行系统优化，达到比较优化的运行状态。一些小的可使系统更优化的调整或配置可由操作员决定，每个参数调整需进行详细记录，大的调整或者重新配置需提交项目组进行审议后再决定；</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6)</w:t>
      </w:r>
      <w:r>
        <w:rPr>
          <w:rFonts w:hint="eastAsia" w:ascii="宋体" w:hAnsi="宋体" w:cs="宋体"/>
          <w:color w:val="000000"/>
          <w:sz w:val="22"/>
        </w:rPr>
        <w:tab/>
      </w:r>
      <w:r>
        <w:rPr>
          <w:rFonts w:hint="eastAsia" w:ascii="宋体" w:hAnsi="宋体" w:cs="宋体"/>
          <w:color w:val="000000"/>
          <w:sz w:val="22"/>
        </w:rPr>
        <w:t>系统调优中，建议考虑如下因素：在系统优化中，应从全局出发，进行通盘考虑；从整体考虑资源组的资源保留情况，整体考虑资源组内的虚拟机的资源保留和竞争情况；充分利用性能测试结果，找出系统性能的短板，从物理基础架构和虚拟基础架构两个层次进行调优；</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7)</w:t>
      </w:r>
      <w:r>
        <w:rPr>
          <w:rFonts w:hint="eastAsia" w:ascii="宋体" w:hAnsi="宋体" w:cs="宋体"/>
          <w:color w:val="000000"/>
          <w:sz w:val="22"/>
        </w:rPr>
        <w:tab/>
      </w:r>
      <w:r>
        <w:rPr>
          <w:rFonts w:hint="eastAsia" w:ascii="宋体" w:hAnsi="宋体" w:cs="宋体"/>
          <w:color w:val="000000"/>
          <w:sz w:val="22"/>
        </w:rPr>
        <w:t>模拟迁移,使用新数据进行一次模拟的迁移演练，预估整个切换所需要的时间，排除切换过程中可能存在问题，对于不满足要求的部分重新修改方案或调优一直到满足预定要求为止。</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8)</w:t>
      </w:r>
      <w:r>
        <w:rPr>
          <w:rFonts w:hint="eastAsia" w:ascii="宋体" w:hAnsi="宋体" w:cs="宋体"/>
          <w:color w:val="000000"/>
          <w:sz w:val="22"/>
        </w:rPr>
        <w:tab/>
      </w:r>
      <w:r>
        <w:rPr>
          <w:rFonts w:hint="eastAsia" w:ascii="宋体" w:hAnsi="宋体" w:cs="宋体"/>
          <w:color w:val="000000"/>
          <w:sz w:val="22"/>
        </w:rPr>
        <w:t>回退方案：整个迁移过程都不改动原生产系统上的数据和硬件架构，迁移出现意外故障的时候可以迅速切换回原生产数据库继续运行。</w:t>
      </w:r>
    </w:p>
    <w:p>
      <w:pPr>
        <w:pStyle w:val="4"/>
        <w:spacing w:before="156" w:after="156"/>
        <w:ind w:left="0"/>
      </w:pPr>
      <w:r>
        <w:rPr>
          <w:rFonts w:hint="eastAsia"/>
        </w:rPr>
        <w:t>“容灾数据库优化”需求：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提供数据库监控工具，针对数据库实现智能监控、容量预测和性能分析能力，支持资产发现、监控告警、智能巡检、容量分析、性能诊断、SQL审核等数据库日常运维场景。</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结合日常检查、容灾库巡检、灾难演练和客户重大事件，提供容灾数据库优化评估服务，并给出数据库系统性能调优工作方案。针对当前数据库运行情况以及收集的性能信息提出系统各项性能参数配置合理调优或硬件扩容建议，经商讨评估后，对数据库系统各项性能参数配置进行合理调优。</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主要针对以下展开：存储空间分配和发展，表格和索引空间分配和增长规律，CPU负载分配和增长规律，内存负载分配和使用规律，连接资源变化分析，更新变化规律，进程使用分配以及增长规律等等主要数据库系统资源的检查和规划。</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结合当前数据库系统的最新补丁情况、生产库补丁情况，从而提供容灾数据库最安全可靠，适合的补丁安装服务以及相关现场支持服务。明确升级需要的条件、升级时间、业务停止时间、升级技术、风险、数据一致性、回退措施等，协助用户选择最适合的容灾库升级方案。</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提供专业数据库运维监控工具，实时监控容灾数据库运行状态，提前感知运行风险，智能定位问题，并利用工具箱快速解决故障。可通过告警平台，实现主动运维服务，有效保障容灾数据库系统的持续稳定运行。</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利用专业数据库运维监控工具可有效提升对容灾数据中心的自动化运维水平，实现对容灾数据中心的主动运维服务。主要功能包括：</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（1）容灾数据库智能化监控和巡检。</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（2）容灾数据中心一体化监控。</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（3）利用告警平台实现告警订阅、工单管理等。</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（4）大屏展示，可自主定制运维视图，实现运行状态可视化。</w:t>
      </w:r>
    </w:p>
    <w:p>
      <w:pPr>
        <w:pStyle w:val="4"/>
        <w:spacing w:before="156" w:after="156"/>
        <w:ind w:left="0"/>
      </w:pPr>
      <w:r>
        <w:rPr>
          <w:rFonts w:hint="eastAsia"/>
        </w:rPr>
        <w:t>“容灾库特权账号管理”服务需求：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提供容灾数据库账户检测功能，定时从权限、状态、最近登录时间等维度检测数据库内用户，并根据内置规则，统计整、异常用户数量并给出不同风险等级分类，对容灾数据库内用户情况做清晰明确。</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针对容灾侧操作系统账户支持修改密码操作，方便用户统一管理账户。</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针对容灾数据库账户支持修改密码和锁定操作，方便用户统一管理账户。</w:t>
      </w:r>
    </w:p>
    <w:p>
      <w:pPr>
        <w:widowControl/>
        <w:spacing w:line="276" w:lineRule="auto"/>
        <w:ind w:firstLine="440" w:firstLineChars="200"/>
        <w:jc w:val="left"/>
        <w:rPr>
          <w:rFonts w:ascii="宋体" w:hAnsi="宋体" w:cs="宋体"/>
          <w:color w:val="000000"/>
          <w:sz w:val="22"/>
        </w:rPr>
      </w:pP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按照安全监管要求，提供容灾端数据库账户的创建、修订、赋权等操作，并提供容灾端主机账户、数据库账户的批量改密操作。日常使用容灾端数据库的过程中，涉及开发、测试、运维、应用等人员，因各种需求在容灾端数据库内新建数据库用户。针对此场景，统计异常用户数量并给出不同风险等级分类，对大权限账户、过期状态账户态和长时间未登录账户等进行安全检测，并给出检测报告。</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供应商需要新建、修改现有数据库用户权限以及其他数据库变更工作时，有义务根据实际场景要求，在数据库中做相应的权限新建、授权和收回等调整。</w:t>
      </w:r>
    </w:p>
    <w:p>
      <w:pPr>
        <w:pStyle w:val="4"/>
        <w:spacing w:before="156" w:after="156"/>
        <w:ind w:left="0"/>
      </w:pPr>
      <w:r>
        <w:rPr>
          <w:rFonts w:hint="eastAsia"/>
        </w:rPr>
        <w:t>“操作系统及数据库”正版化需求：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本次容灾建设所涉及相关的商业化操作系统、数据库软件等保证均为正版，以确保容灾数据库的数据的安全性、可靠性和稳定性，避免因为使用盗版软件而带来的法律风险。</w:t>
      </w:r>
    </w:p>
    <w:p>
      <w:pPr>
        <w:widowControl/>
        <w:spacing w:line="276" w:lineRule="auto"/>
        <w:ind w:firstLine="440" w:firstLineChars="200"/>
        <w:jc w:val="left"/>
        <w:rPr>
          <w:rFonts w:ascii="宋体" w:hAnsi="宋体" w:cs="宋体"/>
          <w:color w:val="000000"/>
          <w:sz w:val="22"/>
        </w:rPr>
      </w:pP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涉及商业化操作系统、数据库软件等，选用官方授权和正式发行的操作系统，以确保系统的稳定性和安全性。应从官方渠道购买操作系统，并确保使用的版本是正版。</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确保操作系统软件的来源合法和合规。供应商采购操作系统时应选择官方认可的渠道，并遵守相关法律法规和许可协议。</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实施严格的安全策略，包括更新和补丁程序，以保护操作系统免受漏洞和病毒的攻击。正版操作系统通常提供官方的安全更新和补丁程序，应被及时应用。</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采用官方授权和正式发行的容灾数据库软件，以确保数据的完整性和可靠性。容灾数据库应使用与主数据库相同的正版软件，以避免潜在的漏洞和安全风险。</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确保数据库软件的来源合法和合规。供应商采购数据库软件时应选择官方认可的渠道，并遵守相关法律法规和许可协议。</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建立完善的服务支持体系。选择提供正版操作系统和数据库服务的供应商应能够提供及时的故障排除和技术支持，以确保系统的稳定运行。</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遵循法律和道德规范。使用非正版操作系统和数据库不仅违反法律规定，还会对软件开发商和其他合法使用者造成经济和法律风险。在任何情况下，供应商都应坚持使用正版软件，维护良好的行业生态。</w:t>
      </w:r>
    </w:p>
    <w:p>
      <w:pPr>
        <w:pStyle w:val="4"/>
        <w:spacing w:before="156" w:after="156"/>
        <w:ind w:left="0"/>
      </w:pPr>
      <w:r>
        <w:rPr>
          <w:rFonts w:hint="eastAsia"/>
        </w:rPr>
        <w:t>灾备服务要求：</w:t>
      </w:r>
    </w:p>
    <w:p>
      <w:pPr>
        <w:rPr>
          <w:b/>
          <w:bCs/>
        </w:rPr>
      </w:pPr>
      <w:r>
        <w:rPr>
          <w:rFonts w:hint="eastAsia"/>
          <w:b/>
          <w:bCs/>
        </w:rPr>
        <w:t>1</w:t>
      </w:r>
      <w:r>
        <w:rPr>
          <w:b/>
          <w:bCs/>
        </w:rPr>
        <w:t>.</w:t>
      </w:r>
      <w:r>
        <w:rPr>
          <w:rFonts w:hint="eastAsia"/>
          <w:b/>
          <w:bCs/>
        </w:rPr>
        <w:t>“每月灾备巡检”服务需求：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每月提供灾备产品的现场巡检服务，保障系统的正常稳定运行，交付产品巡检报告，包含产品硬件巡检；</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每月一次现场灾备相关设施例行检查服务，内容涉及到容灾系统、备份系统、灾备网络、容灾应用、容灾数据库的方方面面，主要包含错误日志管理，性能管理，空间管理，对象管理，安全管理，备份管理等方面内容。巡检工作由现场检查和页面日志分析构成，提供一份内容详尽的灾备巡检报告。</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通过巡检可以了解灾备系统运行情况、解决灾备系统使用中存在的问题、进行灾备系统健康检查、收集灾备系统性能信息等，并按照出具灾备系统检查报告，指出灾备系统运行隐患，提出对策建议并在用户的认可下实施，并出具故障修复报告。</w:t>
      </w:r>
    </w:p>
    <w:p>
      <w:pPr>
        <w:rPr>
          <w:b/>
          <w:bCs/>
        </w:rPr>
      </w:pPr>
      <w:r>
        <w:rPr>
          <w:rFonts w:hint="eastAsia"/>
          <w:b/>
          <w:bCs/>
        </w:rPr>
        <w:t>2</w:t>
      </w:r>
      <w:r>
        <w:rPr>
          <w:b/>
          <w:bCs/>
        </w:rPr>
        <w:t>.</w:t>
      </w:r>
      <w:r>
        <w:rPr>
          <w:rFonts w:hint="eastAsia"/>
          <w:b/>
          <w:bCs/>
        </w:rPr>
        <w:t>“每季度备份恢复校验”服务需求：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每季度提供原厂工程师现场数据恢复演练1次服务，交付季度数据恢复报告</w:t>
      </w:r>
    </w:p>
    <w:p>
      <w:pPr>
        <w:widowControl/>
        <w:spacing w:line="276" w:lineRule="auto"/>
        <w:ind w:firstLine="442" w:firstLineChars="200"/>
        <w:jc w:val="left"/>
        <w:rPr>
          <w:rFonts w:ascii="宋体" w:hAnsi="宋体" w:cs="宋体"/>
          <w:b/>
          <w:color w:val="000000"/>
          <w:sz w:val="22"/>
        </w:rPr>
      </w:pP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提供数据备份恢复验证，技术服务团队需精通灾备技术，能快速恢复各种灾难性故障。熟悉我院的备份机制和模式，利用备份机制实现快速故障恢复。</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数据恢复测试服务主要是为了验证日常备份数据的有效性，实现流畅的恢复流程，把握准确的恢复时间，并以此为依据来重新评估调整备份系统的备份策略和数据恢复测试流程。</w:t>
      </w:r>
    </w:p>
    <w:p>
      <w:pPr>
        <w:rPr>
          <w:b/>
          <w:bCs/>
        </w:rPr>
      </w:pPr>
      <w:r>
        <w:rPr>
          <w:rFonts w:hint="eastAsia"/>
          <w:b/>
          <w:bCs/>
        </w:rPr>
        <w:t>3</w:t>
      </w:r>
      <w:r>
        <w:rPr>
          <w:b/>
          <w:bCs/>
        </w:rPr>
        <w:t>.</w:t>
      </w:r>
      <w:r>
        <w:rPr>
          <w:rFonts w:hint="eastAsia"/>
          <w:b/>
          <w:bCs/>
        </w:rPr>
        <w:t>“每年灾备演练”服务需求：</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服务简介</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每季度提供原厂工程师现场容灾切换演练1次服务，交付年度容灾演练报告</w:t>
      </w:r>
    </w:p>
    <w:p>
      <w:pPr>
        <w:widowControl/>
        <w:spacing w:line="276" w:lineRule="auto"/>
        <w:ind w:firstLine="442" w:firstLineChars="200"/>
        <w:jc w:val="left"/>
        <w:rPr>
          <w:rFonts w:ascii="宋体" w:hAnsi="宋体" w:cs="宋体"/>
          <w:b/>
          <w:color w:val="000000"/>
          <w:sz w:val="22"/>
        </w:rPr>
      </w:pPr>
      <w:r>
        <w:rPr>
          <w:rFonts w:hint="eastAsia" w:ascii="宋体" w:hAnsi="宋体" w:cs="宋体"/>
          <w:b/>
          <w:color w:val="000000"/>
          <w:sz w:val="22"/>
        </w:rPr>
        <w:t>服务内容</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提供容灾演练，演练之前预留故障模拟时间。待正式切换开始后，进行应急响应、应急容灾切换等各项工作，并做好时间记录，按演练步骤逐个填写演练记录表。</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应急系统演练主要包括应急切换决策流程、切换前消息发布、切换指标的达标情况、切换之后的业务测试、应急回切时间、应急回切后数据一致性测试、应急回切后正式业务完成性测试、自动化平台等内容，演练完成需要提供数据库容灾演练报告。</w:t>
      </w:r>
    </w:p>
    <w:p>
      <w:pPr>
        <w:pStyle w:val="2"/>
        <w:spacing w:before="156" w:after="156"/>
      </w:pPr>
      <w:r>
        <w:rPr>
          <w:rFonts w:hint="eastAsia"/>
        </w:rPr>
        <w:t>项目</w:t>
      </w:r>
      <w:r>
        <w:t>内容</w:t>
      </w:r>
    </w:p>
    <w:p>
      <w:pPr>
        <w:pStyle w:val="4"/>
        <w:spacing w:before="156" w:after="156"/>
        <w:ind w:left="0"/>
      </w:pPr>
      <w:bookmarkStart w:id="1" w:name="_Toc107998633"/>
      <w:r>
        <w:rPr>
          <w:rFonts w:hint="eastAsia"/>
        </w:rPr>
        <w:t>数据备份</w:t>
      </w:r>
      <w:r>
        <w:t>建设</w:t>
      </w:r>
      <w:bookmarkEnd w:id="1"/>
      <w:r>
        <w:rPr>
          <w:rFonts w:hint="eastAsia"/>
        </w:rPr>
        <w:t>内容：</w:t>
      </w:r>
    </w:p>
    <w:tbl>
      <w:tblPr>
        <w:tblStyle w:val="45"/>
        <w:tblW w:w="5000" w:type="pct"/>
        <w:tblInd w:w="0" w:type="dxa"/>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1533"/>
        <w:gridCol w:w="1521"/>
        <w:gridCol w:w="4140"/>
        <w:gridCol w:w="1225"/>
        <w:gridCol w:w="1523"/>
      </w:tblGrid>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Calibri"/>
                <w:b/>
                <w:bCs/>
                <w:color w:val="000000"/>
                <w:kern w:val="0"/>
                <w:sz w:val="22"/>
                <w:szCs w:val="22"/>
              </w:rPr>
              <w:t>位置</w:t>
            </w:r>
          </w:p>
        </w:tc>
        <w:tc>
          <w:tcPr>
            <w:tcW w:w="765"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b/>
                <w:bCs/>
                <w:color w:val="000000"/>
                <w:kern w:val="0"/>
                <w:sz w:val="22"/>
                <w:szCs w:val="22"/>
              </w:rPr>
              <w:t>产品</w:t>
            </w:r>
          </w:p>
        </w:tc>
        <w:tc>
          <w:tcPr>
            <w:tcW w:w="2082"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b/>
                <w:bCs/>
                <w:color w:val="000000"/>
                <w:kern w:val="0"/>
                <w:sz w:val="22"/>
                <w:szCs w:val="22"/>
              </w:rPr>
              <w:t>配置描述</w:t>
            </w:r>
          </w:p>
        </w:tc>
        <w:tc>
          <w:tcPr>
            <w:tcW w:w="616"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b/>
                <w:bCs/>
                <w:color w:val="000000"/>
                <w:kern w:val="0"/>
                <w:sz w:val="22"/>
                <w:szCs w:val="22"/>
              </w:rPr>
              <w:t>数量</w:t>
            </w:r>
          </w:p>
        </w:tc>
        <w:tc>
          <w:tcPr>
            <w:tcW w:w="766"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Calibri"/>
                <w:b/>
                <w:bCs/>
                <w:color w:val="000000"/>
                <w:kern w:val="0"/>
                <w:sz w:val="22"/>
                <w:szCs w:val="22"/>
              </w:rPr>
              <w:t>备注</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restart"/>
            <w:shd w:val="clear" w:color="auto" w:fill="EEECE1"/>
            <w:vAlign w:val="center"/>
          </w:tcPr>
          <w:p>
            <w:pPr>
              <w:spacing w:line="240" w:lineRule="auto"/>
              <w:jc w:val="center"/>
              <w:rPr>
                <w:rFonts w:ascii="宋体" w:hAnsi="宋体" w:cs="宋体"/>
                <w:color w:val="000000"/>
                <w:kern w:val="0"/>
                <w:sz w:val="22"/>
                <w:szCs w:val="22"/>
              </w:rPr>
            </w:pPr>
            <w:r>
              <w:rPr>
                <w:rFonts w:hint="eastAsia" w:ascii="宋体" w:hAnsi="宋体" w:cs="宋体"/>
                <w:color w:val="000000"/>
                <w:kern w:val="0"/>
                <w:sz w:val="22"/>
                <w:szCs w:val="22"/>
              </w:rPr>
              <w:t>番禺院区</w:t>
            </w:r>
          </w:p>
        </w:tc>
        <w:tc>
          <w:tcPr>
            <w:tcW w:w="765" w:type="pct"/>
            <w:shd w:val="clear" w:color="auto" w:fill="auto"/>
            <w:tcMar>
              <w:top w:w="15" w:type="dxa"/>
              <w:left w:w="98" w:type="dxa"/>
              <w:bottom w:w="0" w:type="dxa"/>
              <w:right w:w="98" w:type="dxa"/>
            </w:tcMar>
            <w:vAlign w:val="center"/>
          </w:tcPr>
          <w:p>
            <w:pPr>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备份一体机软件扩容</w:t>
            </w:r>
          </w:p>
        </w:tc>
        <w:tc>
          <w:tcPr>
            <w:tcW w:w="2082" w:type="pct"/>
            <w:shd w:val="clear" w:color="auto" w:fill="auto"/>
            <w:tcMar>
              <w:top w:w="15" w:type="dxa"/>
              <w:left w:w="98" w:type="dxa"/>
              <w:bottom w:w="0" w:type="dxa"/>
              <w:right w:w="98" w:type="dxa"/>
            </w:tcMar>
            <w:vAlign w:val="center"/>
          </w:tcPr>
          <w:p>
            <w:pPr>
              <w:widowControl/>
              <w:overflowPunct w:val="0"/>
              <w:spacing w:line="240" w:lineRule="auto"/>
              <w:jc w:val="left"/>
              <w:textAlignment w:val="baseline"/>
              <w:rPr>
                <w:rFonts w:ascii="宋体" w:hAnsi="宋体" w:cs="Arial"/>
                <w:kern w:val="0"/>
                <w:sz w:val="22"/>
                <w:szCs w:val="22"/>
              </w:rPr>
            </w:pPr>
            <w:r>
              <w:rPr>
                <w:rFonts w:hint="eastAsia" w:ascii="宋体" w:hAnsi="宋体" w:cs="Arial"/>
                <w:kern w:val="0"/>
                <w:sz w:val="22"/>
                <w:szCs w:val="22"/>
              </w:rPr>
              <w:t>升级扩容至5</w:t>
            </w:r>
            <w:r>
              <w:rPr>
                <w:rFonts w:ascii="宋体" w:hAnsi="宋体" w:cs="Arial"/>
                <w:kern w:val="0"/>
                <w:sz w:val="22"/>
                <w:szCs w:val="22"/>
              </w:rPr>
              <w:t>0</w:t>
            </w:r>
            <w:r>
              <w:rPr>
                <w:rFonts w:hint="eastAsia" w:ascii="宋体" w:hAnsi="宋体" w:cs="Arial"/>
                <w:kern w:val="0"/>
                <w:sz w:val="22"/>
                <w:szCs w:val="22"/>
              </w:rPr>
              <w:t>T可用容量授权</w:t>
            </w:r>
          </w:p>
        </w:tc>
        <w:tc>
          <w:tcPr>
            <w:tcW w:w="61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kern w:val="0"/>
                <w:sz w:val="22"/>
                <w:szCs w:val="22"/>
              </w:rPr>
              <w:t>1项</w:t>
            </w:r>
          </w:p>
        </w:tc>
        <w:tc>
          <w:tcPr>
            <w:tcW w:w="76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EEECE1"/>
            <w:vAlign w:val="center"/>
          </w:tcPr>
          <w:p>
            <w:pPr>
              <w:spacing w:line="240" w:lineRule="auto"/>
              <w:jc w:val="left"/>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备份一体机硬件扩容</w:t>
            </w:r>
          </w:p>
        </w:tc>
        <w:tc>
          <w:tcPr>
            <w:tcW w:w="2082" w:type="pct"/>
            <w:shd w:val="clear" w:color="auto" w:fill="auto"/>
            <w:tcMar>
              <w:top w:w="15" w:type="dxa"/>
              <w:left w:w="98" w:type="dxa"/>
              <w:bottom w:w="0" w:type="dxa"/>
              <w:right w:w="98" w:type="dxa"/>
            </w:tcMar>
            <w:vAlign w:val="center"/>
          </w:tcPr>
          <w:p>
            <w:pPr>
              <w:widowControl/>
              <w:overflowPunct w:val="0"/>
              <w:spacing w:line="240" w:lineRule="auto"/>
              <w:jc w:val="left"/>
              <w:textAlignment w:val="baseline"/>
              <w:rPr>
                <w:rFonts w:ascii="宋体" w:hAnsi="宋体" w:cs="Arial"/>
                <w:kern w:val="0"/>
                <w:sz w:val="22"/>
                <w:szCs w:val="22"/>
              </w:rPr>
            </w:pPr>
            <w:r>
              <w:rPr>
                <w:rFonts w:hint="eastAsia" w:ascii="宋体" w:hAnsi="宋体" w:cs="Arial"/>
                <w:kern w:val="0"/>
                <w:sz w:val="22"/>
                <w:szCs w:val="22"/>
              </w:rPr>
              <w:t>12T 7200转 高容量SATA</w:t>
            </w:r>
          </w:p>
        </w:tc>
        <w:tc>
          <w:tcPr>
            <w:tcW w:w="61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ascii="宋体" w:hAnsi="宋体" w:cs="Arial"/>
                <w:kern w:val="0"/>
                <w:sz w:val="22"/>
                <w:szCs w:val="22"/>
              </w:rPr>
              <w:t>4</w:t>
            </w:r>
            <w:r>
              <w:rPr>
                <w:rFonts w:hint="eastAsia" w:ascii="宋体" w:hAnsi="宋体" w:cs="Arial"/>
                <w:kern w:val="0"/>
                <w:sz w:val="22"/>
                <w:szCs w:val="22"/>
              </w:rPr>
              <w:t>块</w:t>
            </w:r>
          </w:p>
        </w:tc>
        <w:tc>
          <w:tcPr>
            <w:tcW w:w="76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EEECE1"/>
            <w:vAlign w:val="center"/>
          </w:tcPr>
          <w:p>
            <w:pPr>
              <w:spacing w:line="240" w:lineRule="auto"/>
              <w:jc w:val="left"/>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备份一体机升级</w:t>
            </w:r>
          </w:p>
        </w:tc>
        <w:tc>
          <w:tcPr>
            <w:tcW w:w="2082" w:type="pct"/>
            <w:shd w:val="clear" w:color="auto" w:fill="auto"/>
            <w:tcMar>
              <w:top w:w="15" w:type="dxa"/>
              <w:left w:w="98" w:type="dxa"/>
              <w:bottom w:w="0" w:type="dxa"/>
              <w:right w:w="98" w:type="dxa"/>
            </w:tcMar>
            <w:vAlign w:val="center"/>
          </w:tcPr>
          <w:p>
            <w:pPr>
              <w:widowControl/>
              <w:overflowPunct w:val="0"/>
              <w:spacing w:line="240" w:lineRule="auto"/>
              <w:jc w:val="left"/>
              <w:textAlignment w:val="baseline"/>
              <w:rPr>
                <w:rFonts w:ascii="宋体" w:hAnsi="宋体" w:cs="Arial"/>
                <w:kern w:val="0"/>
                <w:sz w:val="22"/>
                <w:szCs w:val="22"/>
              </w:rPr>
            </w:pPr>
            <w:r>
              <w:rPr>
                <w:rFonts w:hint="eastAsia" w:ascii="宋体" w:hAnsi="宋体" w:cs="Arial"/>
                <w:kern w:val="0"/>
                <w:sz w:val="22"/>
                <w:szCs w:val="22"/>
              </w:rPr>
              <w:t>原有备份系统升级，实现集中管控，支持异地远程复制功能</w:t>
            </w:r>
          </w:p>
        </w:tc>
        <w:tc>
          <w:tcPr>
            <w:tcW w:w="61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kern w:val="0"/>
                <w:sz w:val="22"/>
                <w:szCs w:val="22"/>
              </w:rPr>
              <w:t>1项</w:t>
            </w:r>
          </w:p>
        </w:tc>
        <w:tc>
          <w:tcPr>
            <w:tcW w:w="76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EEECE1"/>
            <w:vAlign w:val="center"/>
          </w:tcPr>
          <w:p>
            <w:pPr>
              <w:widowControl/>
              <w:spacing w:line="240" w:lineRule="auto"/>
              <w:jc w:val="left"/>
              <w:rPr>
                <w:rFonts w:ascii="宋体" w:hAnsi="宋体" w:cs="Arial"/>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kern w:val="0"/>
                <w:sz w:val="22"/>
                <w:szCs w:val="22"/>
              </w:rPr>
              <w:t>磁带机</w:t>
            </w:r>
          </w:p>
        </w:tc>
        <w:tc>
          <w:tcPr>
            <w:tcW w:w="2082" w:type="pct"/>
            <w:shd w:val="clear" w:color="auto" w:fill="auto"/>
            <w:tcMar>
              <w:top w:w="15" w:type="dxa"/>
              <w:left w:w="98" w:type="dxa"/>
              <w:bottom w:w="0" w:type="dxa"/>
              <w:right w:w="98" w:type="dxa"/>
            </w:tcMar>
            <w:vAlign w:val="center"/>
          </w:tcPr>
          <w:p>
            <w:pPr>
              <w:widowControl/>
              <w:overflowPunct w:val="0"/>
              <w:spacing w:line="240" w:lineRule="auto"/>
              <w:jc w:val="left"/>
              <w:textAlignment w:val="baseline"/>
              <w:rPr>
                <w:rFonts w:ascii="宋体" w:hAnsi="宋体" w:cs="Arial"/>
                <w:kern w:val="0"/>
                <w:sz w:val="22"/>
                <w:szCs w:val="22"/>
              </w:rPr>
            </w:pPr>
            <w:r>
              <w:rPr>
                <w:rFonts w:hint="eastAsia" w:ascii="宋体" w:hAnsi="宋体" w:cs="Arial"/>
                <w:kern w:val="0"/>
                <w:sz w:val="22"/>
                <w:szCs w:val="22"/>
              </w:rPr>
              <w:t>驱动器LTO Ultrium 7 半高*1</w:t>
            </w:r>
          </w:p>
          <w:p>
            <w:pPr>
              <w:widowControl/>
              <w:overflowPunct w:val="0"/>
              <w:spacing w:line="240" w:lineRule="auto"/>
              <w:jc w:val="left"/>
              <w:textAlignment w:val="baseline"/>
              <w:rPr>
                <w:rFonts w:ascii="宋体" w:hAnsi="宋体" w:cs="Arial"/>
                <w:kern w:val="0"/>
                <w:sz w:val="22"/>
                <w:szCs w:val="22"/>
              </w:rPr>
            </w:pPr>
            <w:r>
              <w:rPr>
                <w:rFonts w:hint="eastAsia" w:ascii="宋体" w:hAnsi="宋体" w:cs="Arial"/>
                <w:kern w:val="0"/>
                <w:sz w:val="22"/>
                <w:szCs w:val="22"/>
              </w:rPr>
              <w:t>8Gbps 光纤通道，配置1条光纤线</w:t>
            </w:r>
          </w:p>
        </w:tc>
        <w:tc>
          <w:tcPr>
            <w:tcW w:w="61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ascii="宋体" w:hAnsi="宋体" w:cs="Arial"/>
                <w:kern w:val="0"/>
                <w:sz w:val="22"/>
                <w:szCs w:val="22"/>
              </w:rPr>
              <w:t>1</w:t>
            </w:r>
            <w:r>
              <w:rPr>
                <w:rFonts w:hint="eastAsia" w:ascii="宋体" w:hAnsi="宋体" w:cs="Arial"/>
                <w:kern w:val="0"/>
                <w:sz w:val="22"/>
                <w:szCs w:val="22"/>
              </w:rPr>
              <w:t>台</w:t>
            </w:r>
          </w:p>
        </w:tc>
        <w:tc>
          <w:tcPr>
            <w:tcW w:w="76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EEECE1"/>
            <w:vAlign w:val="center"/>
          </w:tcPr>
          <w:p>
            <w:pPr>
              <w:widowControl/>
              <w:spacing w:line="240" w:lineRule="auto"/>
              <w:jc w:val="left"/>
              <w:rPr>
                <w:rFonts w:ascii="宋体" w:hAnsi="宋体" w:cs="Arial"/>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kern w:val="0"/>
                <w:sz w:val="22"/>
                <w:szCs w:val="22"/>
              </w:rPr>
            </w:pPr>
          </w:p>
        </w:tc>
        <w:tc>
          <w:tcPr>
            <w:tcW w:w="61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p>
        </w:tc>
        <w:tc>
          <w:tcPr>
            <w:tcW w:w="766"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restar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r>
              <w:rPr>
                <w:rFonts w:hint="eastAsia" w:ascii="宋体" w:hAnsi="宋体" w:cs="宋体"/>
                <w:color w:val="000000"/>
                <w:kern w:val="0"/>
                <w:sz w:val="22"/>
                <w:szCs w:val="22"/>
              </w:rPr>
              <w:t>越秀院区</w:t>
            </w: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备份一体机软件</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【数据备份模块】支持常规数据库等主流DB备份，支持虚拟化无代理备份，支持x86环境文件备份，支持差异/增量/全备模式，含1</w:t>
            </w:r>
            <w:r>
              <w:rPr>
                <w:rFonts w:ascii="宋体" w:hAnsi="宋体" w:cs="Arial"/>
                <w:color w:val="000000"/>
                <w:kern w:val="0"/>
                <w:sz w:val="22"/>
                <w:szCs w:val="22"/>
              </w:rPr>
              <w:t>5</w:t>
            </w:r>
            <w:r>
              <w:rPr>
                <w:rFonts w:hint="eastAsia" w:ascii="宋体" w:hAnsi="宋体" w:cs="Arial"/>
                <w:color w:val="000000"/>
                <w:kern w:val="0"/>
                <w:sz w:val="22"/>
                <w:szCs w:val="22"/>
              </w:rPr>
              <w:t>0T可用容量无限制主机数据备份功能授权；D2D2T备份授权许可，实现将备份数据离线归档到磁带库</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1套</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备份一体机硬件</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4U机架式，8000（1+1）冗余电源，一颗64位八核十六线程处理器，内存32GB，24个热插拔盘位，1</w:t>
            </w:r>
            <w:r>
              <w:rPr>
                <w:rFonts w:ascii="宋体" w:hAnsi="宋体" w:cs="Arial"/>
                <w:color w:val="000000"/>
                <w:kern w:val="0"/>
                <w:sz w:val="22"/>
                <w:szCs w:val="22"/>
              </w:rPr>
              <w:t>2</w:t>
            </w:r>
            <w:r>
              <w:rPr>
                <w:rFonts w:hint="eastAsia" w:ascii="宋体" w:hAnsi="宋体" w:cs="Arial"/>
                <w:color w:val="000000"/>
                <w:kern w:val="0"/>
                <w:sz w:val="22"/>
                <w:szCs w:val="22"/>
              </w:rPr>
              <w:t>块16T SATA 7200企业级硬盘，2块2400G SSD系统硬盘，提供2个千兆以太网接口，2个万兆以太网接口，2个光纤16GB FC接口。</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1台</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bl>
    <w:p>
      <w:pPr>
        <w:spacing w:before="156" w:beforeLines="50" w:line="276" w:lineRule="auto"/>
        <w:rPr>
          <w:rFonts w:ascii="宋体" w:hAnsi="宋体"/>
          <w:b/>
          <w:color w:val="000000"/>
          <w:sz w:val="22"/>
        </w:rPr>
      </w:pPr>
    </w:p>
    <w:p>
      <w:pPr>
        <w:pStyle w:val="4"/>
        <w:spacing w:before="156" w:after="156"/>
        <w:ind w:left="0"/>
      </w:pPr>
      <w:r>
        <w:rPr>
          <w:rFonts w:hint="eastAsia"/>
        </w:rPr>
        <w:t>灾备一体化平台建设内容：</w:t>
      </w:r>
    </w:p>
    <w:tbl>
      <w:tblPr>
        <w:tblStyle w:val="45"/>
        <w:tblW w:w="5000" w:type="pct"/>
        <w:tblInd w:w="0" w:type="dxa"/>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1533"/>
        <w:gridCol w:w="1521"/>
        <w:gridCol w:w="4140"/>
        <w:gridCol w:w="1225"/>
        <w:gridCol w:w="1523"/>
      </w:tblGrid>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Calibri"/>
                <w:b/>
                <w:bCs/>
                <w:color w:val="000000"/>
                <w:kern w:val="0"/>
                <w:sz w:val="22"/>
                <w:szCs w:val="22"/>
              </w:rPr>
              <w:t>位置</w:t>
            </w:r>
          </w:p>
        </w:tc>
        <w:tc>
          <w:tcPr>
            <w:tcW w:w="765"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b/>
                <w:bCs/>
                <w:color w:val="000000"/>
                <w:kern w:val="0"/>
                <w:sz w:val="22"/>
                <w:szCs w:val="22"/>
              </w:rPr>
              <w:t>产品</w:t>
            </w:r>
          </w:p>
        </w:tc>
        <w:tc>
          <w:tcPr>
            <w:tcW w:w="2082"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b/>
                <w:bCs/>
                <w:color w:val="000000"/>
                <w:kern w:val="0"/>
                <w:sz w:val="22"/>
                <w:szCs w:val="22"/>
              </w:rPr>
              <w:t>配置描述</w:t>
            </w:r>
          </w:p>
        </w:tc>
        <w:tc>
          <w:tcPr>
            <w:tcW w:w="616"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Arial"/>
                <w:b/>
                <w:bCs/>
                <w:color w:val="000000"/>
                <w:kern w:val="0"/>
                <w:sz w:val="22"/>
                <w:szCs w:val="22"/>
              </w:rPr>
              <w:t>数量</w:t>
            </w:r>
          </w:p>
        </w:tc>
        <w:tc>
          <w:tcPr>
            <w:tcW w:w="766"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kern w:val="0"/>
                <w:sz w:val="22"/>
                <w:szCs w:val="22"/>
              </w:rPr>
            </w:pPr>
            <w:r>
              <w:rPr>
                <w:rFonts w:hint="eastAsia" w:ascii="宋体" w:hAnsi="宋体" w:cs="Calibri"/>
                <w:b/>
                <w:bCs/>
                <w:color w:val="000000"/>
                <w:kern w:val="0"/>
                <w:sz w:val="22"/>
                <w:szCs w:val="22"/>
              </w:rPr>
              <w:t>备注</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restar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r>
              <w:rPr>
                <w:rFonts w:hint="eastAsia" w:ascii="宋体" w:hAnsi="宋体" w:cs="宋体"/>
                <w:color w:val="000000"/>
                <w:kern w:val="0"/>
                <w:sz w:val="22"/>
                <w:szCs w:val="22"/>
              </w:rPr>
              <w:t>越秀院区</w:t>
            </w: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CDP主机容灾</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采用磁盘级I/O复制技术捕获磁盘数据块变化，将应用环境和数据整体打包备份，不区分数据库，文件，操作系统等数据类型，通过主机级数据同步，实现对整个业务环境和数据的实时备份保护。</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含60T可用容量无限制主机数据实时保护功能授权；无限制节点容灾接管授权。</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1套</w:t>
            </w:r>
          </w:p>
        </w:tc>
        <w:tc>
          <w:tcPr>
            <w:tcW w:w="766" w:type="pct"/>
            <w:vMerge w:val="restar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主机容灾</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CDP主机容灾硬件</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2U机架式，550（1+1）冗余电源，两颗64位十六核三十二线程处理器，内存1TB，12个热插拔盘位，8块12T SATA 7200企业级硬盘，2块240G SSD系统硬盘，提供2个千兆以太网接口，2个万兆以太网接口。</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1台</w:t>
            </w:r>
          </w:p>
        </w:tc>
        <w:tc>
          <w:tcPr>
            <w:tcW w:w="766" w:type="pct"/>
            <w:vMerge w:val="continue"/>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硬盘不返服务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客户硬盘损坏保修期内不返还</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3</w:t>
            </w:r>
            <w:r>
              <w:rPr>
                <w:rFonts w:hint="eastAsia" w:ascii="宋体" w:hAnsi="宋体" w:cs="Arial"/>
                <w:color w:val="000000"/>
                <w:kern w:val="0"/>
                <w:sz w:val="22"/>
                <w:szCs w:val="22"/>
              </w:rPr>
              <w:t>年</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超融合一体机</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本次采购需提供3台超融合服务器，每台服务器配置要求如下：</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CPU：2路Intel gold 5318Y 2.1G 24C CPU</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内存：提供≥32条32G DDR4 内存条</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系统盘：提供≥2块480G 2.5 SATA SSD</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缓存盘：提供≥2块1.6T NVME SSD</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数据盘：提供≥10块16T HDD硬盘</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阵列卡：提供1块阵列卡，支持raid1、JBOD</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提供≥4口万兆光纤网卡(含模块)，≥4口千兆RJ45网卡</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标配冗余电源、风扇、导轨</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3台</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考虑数据增长冗余</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数据库容灾</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搭建1:</w:t>
            </w:r>
            <w:r>
              <w:rPr>
                <w:rFonts w:ascii="宋体" w:hAnsi="宋体" w:cs="Arial"/>
                <w:color w:val="000000"/>
                <w:kern w:val="0"/>
                <w:sz w:val="22"/>
                <w:szCs w:val="22"/>
              </w:rPr>
              <w:t>1</w:t>
            </w:r>
            <w:r>
              <w:rPr>
                <w:rFonts w:hint="eastAsia" w:ascii="宋体" w:hAnsi="宋体" w:cs="Arial"/>
                <w:color w:val="000000"/>
                <w:kern w:val="0"/>
                <w:sz w:val="22"/>
                <w:szCs w:val="22"/>
              </w:rPr>
              <w:t>的数据库容灾。支持内存、存储的数据同步复制和灾难切换基本功能，同时支持桌面演练、活动站点、误操作恢复功能。满足我院所有核心系统容灾侧数据库实例授权。</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1套</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数据库容灾</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防勒索加固</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防勒索系统精确识别保护文档的操作者，防止敏感信息文档被加密，保护容灾服务器的数据库文件，支持web界面策略配置及下发、设备监控、日志收集及分析功能，有效阻断已知和未知勒索软件的攻击。功能项：</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1.基础功能：进程防护、诱捕、报表等</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2.服务器：默认包含9台以上数据库服务器防勒索授权</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套</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容灾库防勒索</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灾备一体化平台</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灾备一体化平台要求实现灾备状态可感知、灾备能力可订购、灾备演练可掌控、灾难切换可指挥，充分保证业务连续性和数据完整性，具有强兼容性，实现所有灾备资源的统一纳管。</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【管控中心】对不同类型的灾备技术实现集中管控，支持灾备运行状态监控、预案编排、预案评估、容灾演练和灾难切换等功能。包含5</w:t>
            </w:r>
            <w:r>
              <w:rPr>
                <w:rFonts w:ascii="宋体" w:hAnsi="宋体" w:cs="Arial"/>
                <w:color w:val="000000"/>
                <w:kern w:val="0"/>
                <w:sz w:val="22"/>
                <w:szCs w:val="22"/>
              </w:rPr>
              <w:t>0</w:t>
            </w:r>
            <w:r>
              <w:rPr>
                <w:rFonts w:hint="eastAsia" w:ascii="宋体" w:hAnsi="宋体" w:cs="Arial"/>
                <w:color w:val="000000"/>
                <w:kern w:val="0"/>
                <w:sz w:val="22"/>
                <w:szCs w:val="22"/>
              </w:rPr>
              <w:t>个灾备管控资产授权。</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1套</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灾备集中管控</w:t>
            </w: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编排梳理服务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含</w:t>
            </w:r>
            <w:r>
              <w:rPr>
                <w:rFonts w:ascii="宋体" w:hAnsi="宋体" w:cs="Arial"/>
                <w:color w:val="000000"/>
                <w:kern w:val="0"/>
                <w:sz w:val="22"/>
                <w:szCs w:val="22"/>
              </w:rPr>
              <w:t>10</w:t>
            </w:r>
            <w:r>
              <w:rPr>
                <w:rFonts w:hint="eastAsia" w:ascii="宋体" w:hAnsi="宋体" w:cs="Arial"/>
                <w:color w:val="000000"/>
                <w:kern w:val="0"/>
                <w:sz w:val="22"/>
                <w:szCs w:val="22"/>
              </w:rPr>
              <w:t>人天现场，提供资产梳理、脚本编写、预案编排、计划演练保障等服务</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次</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数据迁移</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提供核心数据库（不少于9个）的迁移工作，工作内容包括：项目系统调研，制定数据库迁移方案，操作系统参数优化，数据库软件安装，模拟迁移及正式迁移和迁移后的保障工作。</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次</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产品巡检服务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提供所有灾备产品的巡检服务，保障系统的正常稳定运行，提供产品巡检报告</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年</w:t>
            </w:r>
            <w:r>
              <w:rPr>
                <w:rFonts w:ascii="宋体" w:hAnsi="宋体" w:cs="Arial"/>
                <w:color w:val="000000"/>
                <w:kern w:val="0"/>
                <w:sz w:val="22"/>
                <w:szCs w:val="22"/>
              </w:rPr>
              <w:t>4</w:t>
            </w:r>
            <w:r>
              <w:rPr>
                <w:rFonts w:hint="eastAsia" w:ascii="宋体" w:hAnsi="宋体" w:cs="Arial"/>
                <w:color w:val="000000"/>
                <w:kern w:val="0"/>
                <w:sz w:val="22"/>
                <w:szCs w:val="22"/>
              </w:rPr>
              <w:t>次</w:t>
            </w:r>
          </w:p>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共三年</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数据恢复演练服务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原厂工程师现场数据恢复演练服务</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年</w:t>
            </w:r>
            <w:r>
              <w:rPr>
                <w:rFonts w:ascii="宋体" w:hAnsi="宋体" w:cs="Arial"/>
                <w:color w:val="000000"/>
                <w:kern w:val="0"/>
                <w:sz w:val="22"/>
                <w:szCs w:val="22"/>
              </w:rPr>
              <w:t>4</w:t>
            </w:r>
            <w:r>
              <w:rPr>
                <w:rFonts w:hint="eastAsia" w:ascii="宋体" w:hAnsi="宋体" w:cs="Arial"/>
                <w:color w:val="000000"/>
                <w:kern w:val="0"/>
                <w:sz w:val="22"/>
                <w:szCs w:val="22"/>
              </w:rPr>
              <w:t>次</w:t>
            </w:r>
          </w:p>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共三年</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容灾演练服务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原厂工程师现场容灾切换演练服务</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年</w:t>
            </w:r>
            <w:r>
              <w:rPr>
                <w:rFonts w:ascii="宋体" w:hAnsi="宋体" w:cs="Arial"/>
                <w:color w:val="000000"/>
                <w:kern w:val="0"/>
                <w:sz w:val="22"/>
                <w:szCs w:val="22"/>
              </w:rPr>
              <w:t>4</w:t>
            </w:r>
            <w:r>
              <w:rPr>
                <w:rFonts w:hint="eastAsia" w:ascii="宋体" w:hAnsi="宋体" w:cs="Arial"/>
                <w:color w:val="000000"/>
                <w:kern w:val="0"/>
                <w:sz w:val="22"/>
                <w:szCs w:val="22"/>
              </w:rPr>
              <w:t>次</w:t>
            </w:r>
          </w:p>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共三年</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vMerge w:val="continue"/>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数据库监控优化工具（含特权账号管理）</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提供专业数据库运维监控工具，实时监控容灾数据库运行状态，提前感知运行风险，智能定位问题，并利用工具箱快速解决故障。可通过告警平台，实现主动运维服务，有效保障容灾数据库系统的持续稳定运行。</w:t>
            </w:r>
          </w:p>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通过用户权限检测工具，分析用户权限并检测存在安全风险的账户，通过批量改密工具。</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ascii="宋体" w:hAnsi="宋体" w:cs="Arial"/>
                <w:color w:val="000000"/>
                <w:kern w:val="0"/>
                <w:sz w:val="22"/>
                <w:szCs w:val="22"/>
              </w:rPr>
              <w:t>1</w:t>
            </w:r>
            <w:r>
              <w:rPr>
                <w:rFonts w:hint="eastAsia" w:ascii="宋体" w:hAnsi="宋体" w:cs="Arial"/>
                <w:color w:val="000000"/>
                <w:kern w:val="0"/>
                <w:sz w:val="22"/>
                <w:szCs w:val="22"/>
              </w:rPr>
              <w:t>套</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宋体"/>
                <w:color w:val="000000"/>
                <w:kern w:val="0"/>
                <w:sz w:val="22"/>
                <w:szCs w:val="22"/>
              </w:rPr>
              <w:t>容灾机房建设服务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提供容灾机房搬迁服务</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1项</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p>
        </w:tc>
      </w:tr>
      <w:tr>
        <w:tblPrEx>
          <w:tblBorders>
            <w:top w:val="single" w:color="000000" w:sz="8"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 w:hRule="atLeast"/>
        </w:trPr>
        <w:tc>
          <w:tcPr>
            <w:tcW w:w="771" w:type="pct"/>
            <w:shd w:val="clear" w:color="auto" w:fill="D9D9D9"/>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宋体"/>
                <w:color w:val="000000"/>
                <w:kern w:val="0"/>
                <w:sz w:val="22"/>
                <w:szCs w:val="22"/>
              </w:rPr>
            </w:pPr>
            <w:r>
              <w:rPr>
                <w:rFonts w:hint="eastAsia" w:ascii="宋体" w:hAnsi="宋体" w:cs="宋体"/>
                <w:color w:val="000000"/>
                <w:kern w:val="0"/>
                <w:sz w:val="22"/>
                <w:szCs w:val="22"/>
              </w:rPr>
              <w:t>产品维保服务</w:t>
            </w:r>
          </w:p>
        </w:tc>
        <w:tc>
          <w:tcPr>
            <w:tcW w:w="765" w:type="pct"/>
            <w:shd w:val="clear" w:color="auto" w:fill="auto"/>
            <w:tcMar>
              <w:top w:w="15" w:type="dxa"/>
              <w:left w:w="98" w:type="dxa"/>
              <w:bottom w:w="0" w:type="dxa"/>
              <w:right w:w="98" w:type="dxa"/>
            </w:tcMar>
            <w:vAlign w:val="center"/>
          </w:tcPr>
          <w:p>
            <w:pPr>
              <w:widowControl/>
              <w:overflowPunct w:val="0"/>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原厂维保服务</w:t>
            </w:r>
          </w:p>
        </w:tc>
        <w:tc>
          <w:tcPr>
            <w:tcW w:w="2082" w:type="pct"/>
            <w:shd w:val="clear" w:color="auto" w:fill="auto"/>
            <w:tcMar>
              <w:top w:w="15" w:type="dxa"/>
              <w:left w:w="98" w:type="dxa"/>
              <w:bottom w:w="0" w:type="dxa"/>
              <w:right w:w="98" w:type="dxa"/>
            </w:tcMar>
            <w:vAlign w:val="center"/>
          </w:tcPr>
          <w:p>
            <w:pPr>
              <w:widowControl/>
              <w:overflowPunct w:val="0"/>
              <w:spacing w:line="240" w:lineRule="auto"/>
              <w:textAlignment w:val="baseline"/>
              <w:rPr>
                <w:rFonts w:ascii="宋体" w:hAnsi="宋体" w:cs="Arial"/>
                <w:color w:val="000000"/>
                <w:kern w:val="0"/>
                <w:sz w:val="22"/>
                <w:szCs w:val="22"/>
              </w:rPr>
            </w:pPr>
            <w:r>
              <w:rPr>
                <w:rFonts w:hint="eastAsia" w:ascii="宋体" w:hAnsi="宋体" w:cs="Arial"/>
                <w:color w:val="000000"/>
                <w:kern w:val="0"/>
                <w:sz w:val="22"/>
                <w:szCs w:val="22"/>
              </w:rPr>
              <w:t>以上产品提供三年原厂服务</w:t>
            </w:r>
          </w:p>
        </w:tc>
        <w:tc>
          <w:tcPr>
            <w:tcW w:w="61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1项</w:t>
            </w:r>
          </w:p>
        </w:tc>
        <w:tc>
          <w:tcPr>
            <w:tcW w:w="766" w:type="pct"/>
            <w:shd w:val="clear" w:color="auto" w:fill="auto"/>
            <w:tcMar>
              <w:top w:w="15" w:type="dxa"/>
              <w:left w:w="25" w:type="dxa"/>
              <w:bottom w:w="0" w:type="dxa"/>
              <w:right w:w="25" w:type="dxa"/>
            </w:tcMar>
            <w:vAlign w:val="center"/>
          </w:tcPr>
          <w:p>
            <w:pPr>
              <w:widowControl/>
              <w:spacing w:line="240" w:lineRule="auto"/>
              <w:jc w:val="center"/>
              <w:textAlignment w:val="baseline"/>
              <w:rPr>
                <w:rFonts w:ascii="宋体" w:hAnsi="宋体" w:cs="Arial"/>
                <w:color w:val="000000"/>
                <w:kern w:val="0"/>
                <w:sz w:val="22"/>
                <w:szCs w:val="22"/>
              </w:rPr>
            </w:pPr>
            <w:r>
              <w:rPr>
                <w:rFonts w:hint="eastAsia" w:ascii="宋体" w:hAnsi="宋体" w:cs="Arial"/>
                <w:color w:val="000000"/>
                <w:kern w:val="0"/>
                <w:sz w:val="22"/>
                <w:szCs w:val="22"/>
              </w:rPr>
              <w:t>均需提供原厂服务承诺函</w:t>
            </w:r>
          </w:p>
        </w:tc>
      </w:tr>
    </w:tbl>
    <w:p>
      <w:pPr>
        <w:spacing w:before="156" w:after="156"/>
      </w:pPr>
      <w:bookmarkStart w:id="2" w:name="_Toc475021025"/>
      <w:bookmarkEnd w:id="2"/>
      <w:bookmarkStart w:id="3" w:name="_Toc475460779"/>
      <w:bookmarkEnd w:id="3"/>
      <w:bookmarkStart w:id="4" w:name="_Toc459386166"/>
      <w:bookmarkEnd w:id="4"/>
      <w:bookmarkStart w:id="5" w:name="_Toc447636354"/>
      <w:bookmarkEnd w:id="5"/>
      <w:bookmarkStart w:id="6" w:name="_Toc479519769"/>
      <w:bookmarkEnd w:id="6"/>
      <w:bookmarkStart w:id="7" w:name="_Toc482867218"/>
      <w:bookmarkEnd w:id="7"/>
      <w:bookmarkStart w:id="8" w:name="_Toc375067263"/>
      <w:bookmarkEnd w:id="8"/>
      <w:bookmarkStart w:id="9" w:name="_Toc372727631"/>
      <w:bookmarkEnd w:id="9"/>
      <w:bookmarkStart w:id="10" w:name="_Toc386459816"/>
      <w:bookmarkEnd w:id="10"/>
      <w:bookmarkStart w:id="11" w:name="_Toc387849759"/>
      <w:bookmarkEnd w:id="11"/>
      <w:bookmarkStart w:id="12" w:name="_Toc395874744"/>
      <w:bookmarkEnd w:id="12"/>
      <w:bookmarkStart w:id="13" w:name="_Toc448406149"/>
      <w:bookmarkEnd w:id="13"/>
      <w:bookmarkStart w:id="14" w:name="_Toc466925534"/>
      <w:bookmarkEnd w:id="14"/>
      <w:bookmarkStart w:id="15" w:name="_Toc467328614"/>
      <w:bookmarkEnd w:id="15"/>
    </w:p>
    <w:p>
      <w:pPr>
        <w:pStyle w:val="2"/>
        <w:spacing w:before="156" w:after="156"/>
      </w:pPr>
      <w:r>
        <w:rPr>
          <w:rFonts w:hint="eastAsia"/>
        </w:rPr>
        <w:t>服务要求</w:t>
      </w:r>
    </w:p>
    <w:p>
      <w:pPr>
        <w:pStyle w:val="4"/>
        <w:spacing w:before="156" w:after="156"/>
        <w:ind w:left="0"/>
      </w:pPr>
      <w:r>
        <w:rPr>
          <w:rFonts w:hint="eastAsia"/>
        </w:rPr>
        <w:t>响应供应商资格要求：</w:t>
      </w:r>
    </w:p>
    <w:p>
      <w:pPr>
        <w:pStyle w:val="110"/>
        <w:numPr>
          <w:ilvl w:val="0"/>
          <w:numId w:val="16"/>
        </w:numPr>
        <w:spacing w:line="500" w:lineRule="exact"/>
        <w:ind w:leftChars="0"/>
        <w:rPr>
          <w:rFonts w:ascii="宋体" w:hAnsi="宋体" w:cs="仿宋"/>
          <w:sz w:val="22"/>
        </w:rPr>
      </w:pPr>
      <w:r>
        <w:rPr>
          <w:rFonts w:hint="eastAsia" w:ascii="宋体" w:hAnsi="宋体" w:cs="仿宋"/>
          <w:sz w:val="22"/>
        </w:rPr>
        <w:t>参加本项目的</w:t>
      </w:r>
      <w:r>
        <w:rPr>
          <w:rFonts w:ascii="宋体" w:hAnsi="宋体" w:cs="仿宋"/>
          <w:sz w:val="22"/>
        </w:rPr>
        <w:t>响应供应商</w:t>
      </w:r>
      <w:r>
        <w:rPr>
          <w:rFonts w:hint="eastAsia" w:ascii="宋体" w:hAnsi="宋体" w:cs="仿宋"/>
          <w:sz w:val="22"/>
        </w:rPr>
        <w:t>必须是具有独立承担民事责任能力的在中华人民共和国境内注册的法人；</w:t>
      </w:r>
    </w:p>
    <w:p>
      <w:pPr>
        <w:pStyle w:val="110"/>
        <w:numPr>
          <w:ilvl w:val="0"/>
          <w:numId w:val="16"/>
        </w:numPr>
        <w:ind w:leftChars="0"/>
        <w:contextualSpacing/>
        <w:rPr>
          <w:rFonts w:ascii="宋体" w:hAnsi="宋体"/>
          <w:sz w:val="22"/>
        </w:rPr>
      </w:pPr>
      <w:r>
        <w:rPr>
          <w:rFonts w:hint="eastAsia" w:ascii="宋体" w:hAnsi="宋体"/>
          <w:color w:val="000000"/>
          <w:kern w:val="0"/>
          <w:sz w:val="22"/>
          <w:shd w:val="clear" w:color="auto" w:fill="FFFFFF"/>
        </w:rPr>
        <w:t>本项目不接受联合体</w:t>
      </w:r>
      <w:r>
        <w:rPr>
          <w:rFonts w:hint="eastAsia" w:ascii="宋体" w:hAnsi="宋体"/>
          <w:color w:val="000000"/>
          <w:kern w:val="0"/>
          <w:sz w:val="22"/>
          <w:shd w:val="clear" w:color="auto" w:fill="FFFFFF"/>
          <w:lang w:val="en-US" w:eastAsia="zh-CN"/>
        </w:rPr>
        <w:t>参与</w:t>
      </w:r>
      <w:bookmarkStart w:id="16" w:name="_GoBack"/>
      <w:bookmarkEnd w:id="16"/>
      <w:r>
        <w:rPr>
          <w:rFonts w:hint="eastAsia" w:ascii="宋体" w:hAnsi="宋体"/>
          <w:color w:val="000000"/>
          <w:kern w:val="0"/>
          <w:sz w:val="22"/>
          <w:shd w:val="clear" w:color="auto" w:fill="FFFFFF"/>
        </w:rPr>
        <w:t>。</w:t>
      </w:r>
    </w:p>
    <w:p>
      <w:pPr>
        <w:pStyle w:val="4"/>
        <w:spacing w:before="156" w:after="156"/>
        <w:ind w:left="0"/>
      </w:pPr>
      <w:r>
        <w:rPr>
          <w:rFonts w:hint="eastAsia"/>
        </w:rPr>
        <w:t>实施要求：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 xml:space="preserve">详细实施进度要求如下： </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项目总建设周期为签订合同后 6 个自然月完成所有工作。</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项目交付地点：医院指定地点。</w:t>
      </w:r>
    </w:p>
    <w:p>
      <w:pPr>
        <w:pStyle w:val="4"/>
        <w:spacing w:before="156" w:after="156"/>
        <w:ind w:left="0"/>
      </w:pPr>
      <w:r>
        <w:rPr>
          <w:rFonts w:hint="eastAsia"/>
        </w:rPr>
        <w:t>服务团队要求：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要求项目团队成员具备良好的数据库技术支持能力以保障灾备系统的建设实施及顺利运行，原厂服务团队成员具体要求如下（要求提供相关证书和社保复印件备查）：</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1、项目经理同时具备PMP和OCM；须具备3个以上的容灾备份相关项目经验，提供相关简历及项目合同证明。</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2、实施工程师需具备Oracle OCP、MySQL OCP、CISSP、高级数据库管理工程师（工信部、职称职业鉴定），提供相关资质证明。</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3、配备数据库支撑顾问2名，需具备Oracle ACE认证、PostgreSQL ACE认证，提供相关资质证明。</w:t>
      </w:r>
    </w:p>
    <w:p>
      <w:pPr>
        <w:pStyle w:val="4"/>
        <w:spacing w:before="156" w:after="156"/>
        <w:ind w:left="0"/>
      </w:pPr>
      <w:r>
        <w:rPr>
          <w:rFonts w:hint="eastAsia"/>
        </w:rPr>
        <w:t>售后服务要求：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1、供应商需按照我院要求提供投标产品的实施、安装、调试、部署、派送、培训以及各设备软件之间集成、常态化配置维护等服务，确保产品可以投入正常实际使用。</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供应商负责服务工具的系统软件升级、更新。供应商需要根据与我院的约定定期（合同签订时确认）对合同购置产品免费进行必要的软件更新（包括操作系统、备份软件等）和版本升级。当我院准备对合同产品进行升级或扩容时，供应商须提供咨询服务，并提交相关方案，并提供升级后的测试报告。</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培训要求。为使掌握系统，熟悉基础故障的处理方法，减少系统问题的出现，保证工作正常开展；供应商提供对本项目的技术培训，采用理论培训与现场培训相结合的方式进行培训，培训时间由供应商和我院在签订合同时协商决定。</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4、合同质量保证期。质保期内对医院所供货物实行包修、包换、包退、包维护保养；质保期内，如设备或零部件因非人为因素出现故障而造成短期停用时，则质保期和免费维修期相应顺延，如停用时间累积超过60天则质保期重新计算。</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5、对售后服务期内供应商承诺提供免费和完善的技术支持。承诺遇到应急救灾、故障或缺陷时能迅速响应并在2小时内提供完善的解决方案，且能派足够的技术人员同时达现场协助客户并解决问题。</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6、供应商为产品保修第一响应方，在保修期开始时向我院提供售后服务联系方式。联系方式包括但不限于供应商售后人员的联系方式和原厂售后联系方式。原厂商需要协助供应商为产品提供保修服务。</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7</w:t>
      </w:r>
      <w:r>
        <w:rPr>
          <w:rFonts w:hint="eastAsia" w:ascii="宋体" w:hAnsi="宋体" w:cs="宋体"/>
          <w:color w:val="000000"/>
          <w:sz w:val="22"/>
        </w:rPr>
        <w:t>、供应商提供现场7×24小时的响应。按医院通知：工作期间（正常工作日8：00-18：00）故障响应时间不超过0.5 小时，到达现场时间不超过1 小时；非工作期间（正常工作日0:00-8:00、18:00-24:00及节假日）软件故障响应时间不超过1 小时，到达现场时间不超过2 小时；并于4小时内排除故障，保证系统正常运行。</w:t>
      </w:r>
    </w:p>
    <w:p>
      <w:pPr>
        <w:widowControl/>
        <w:spacing w:line="276" w:lineRule="auto"/>
        <w:ind w:firstLine="440" w:firstLineChars="200"/>
        <w:jc w:val="left"/>
        <w:rPr>
          <w:rFonts w:ascii="宋体" w:hAnsi="宋体" w:cs="宋体"/>
          <w:color w:val="000000"/>
          <w:sz w:val="22"/>
        </w:rPr>
      </w:pPr>
      <w:r>
        <w:rPr>
          <w:rFonts w:ascii="宋体" w:hAnsi="宋体" w:cs="宋体"/>
          <w:color w:val="000000"/>
          <w:sz w:val="22"/>
        </w:rPr>
        <w:t>8</w:t>
      </w:r>
      <w:r>
        <w:rPr>
          <w:rFonts w:hint="eastAsia" w:ascii="宋体" w:hAnsi="宋体" w:cs="宋体"/>
          <w:color w:val="000000"/>
          <w:sz w:val="22"/>
        </w:rPr>
        <w:t>、供应商必须做好系统环境的维护，主要防止因操作系统故障或系统配置故障影响用户正常使用。</w:t>
      </w:r>
    </w:p>
    <w:p>
      <w:pPr>
        <w:pStyle w:val="4"/>
        <w:spacing w:before="156" w:after="156"/>
        <w:ind w:left="0"/>
      </w:pPr>
      <w:r>
        <w:rPr>
          <w:rFonts w:hint="eastAsia"/>
        </w:rPr>
        <w:t>培训服务要求：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从合同签订开始，实施厂家相关技术人员免费对所有科室骨干进行分期、分批的各种容灾技术培训。根据不同专业、不同管理要求对科室负责人及所有上岗操作使用人员进行系统主要功能、系统操作使用方法、系统工作流程培训。通过培训，使他们较好的掌握应用软件的使用方法，熟悉系统工作流程，基本达到了操作准确、及时、迅速的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（2）培训对象包括信息系统管理员、信息科管理人员、信息科运维人员(技术员)等。</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（3）培训计划：包括容灾一体化系统管理员的培训、操作骨干的培训和操作人员的培训方法和内容。</w:t>
      </w:r>
    </w:p>
    <w:p>
      <w:pPr>
        <w:pStyle w:val="4"/>
        <w:spacing w:before="156" w:after="156"/>
        <w:ind w:left="0"/>
      </w:pPr>
      <w:r>
        <w:rPr>
          <w:rFonts w:hint="eastAsia"/>
        </w:rPr>
        <w:t>验收要求：</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（1）供应商提供详尽的系统运行方案。系统运行分为试运行、正式运行、稳定运行及系统移交等步骤。</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w:t>
      </w:r>
      <w:r>
        <w:rPr>
          <w:rFonts w:ascii="宋体" w:hAnsi="宋体" w:cs="宋体"/>
          <w:color w:val="000000"/>
          <w:sz w:val="22"/>
        </w:rPr>
        <w:t>2</w:t>
      </w:r>
      <w:r>
        <w:rPr>
          <w:rFonts w:hint="eastAsia" w:ascii="宋体" w:hAnsi="宋体" w:cs="宋体"/>
          <w:color w:val="000000"/>
          <w:sz w:val="22"/>
        </w:rPr>
        <w:t>）试运行期满且系统运行正常后，供应商需按合同所列标准，向院方提供完成验收报告及相关资料，包括但不限于本合同涉及的全部有关产品说明书、原厂安装手册、技术文件、资料及安装、测试、试运行合格报告等文档，汇集成册一式二套交予采购人（包括纸质版和电子版）。</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w:t>
      </w:r>
      <w:r>
        <w:rPr>
          <w:rFonts w:ascii="宋体" w:hAnsi="宋体" w:cs="宋体"/>
          <w:color w:val="000000"/>
          <w:sz w:val="22"/>
        </w:rPr>
        <w:t>3</w:t>
      </w:r>
      <w:r>
        <w:rPr>
          <w:rFonts w:hint="eastAsia" w:ascii="宋体" w:hAnsi="宋体" w:cs="宋体"/>
          <w:color w:val="000000"/>
          <w:sz w:val="22"/>
        </w:rPr>
        <w:t>）初次运行期内灾备安全运营技术支持工作，提交初次运行情况总结报告。</w:t>
      </w:r>
    </w:p>
    <w:p>
      <w:pPr>
        <w:widowControl/>
        <w:spacing w:line="276" w:lineRule="auto"/>
        <w:ind w:firstLine="440" w:firstLineChars="200"/>
        <w:jc w:val="left"/>
        <w:rPr>
          <w:rFonts w:ascii="宋体" w:hAnsi="宋体" w:cs="宋体"/>
          <w:color w:val="000000"/>
          <w:sz w:val="22"/>
        </w:rPr>
      </w:pPr>
      <w:r>
        <w:rPr>
          <w:rFonts w:hint="eastAsia" w:ascii="宋体" w:hAnsi="宋体" w:cs="宋体"/>
          <w:color w:val="000000"/>
          <w:sz w:val="22"/>
        </w:rPr>
        <w:t>（</w:t>
      </w:r>
      <w:r>
        <w:rPr>
          <w:rFonts w:ascii="宋体" w:hAnsi="宋体" w:cs="宋体"/>
          <w:color w:val="000000"/>
          <w:sz w:val="22"/>
        </w:rPr>
        <w:t>4</w:t>
      </w:r>
      <w:r>
        <w:rPr>
          <w:rFonts w:hint="eastAsia" w:ascii="宋体" w:hAnsi="宋体" w:cs="宋体"/>
          <w:color w:val="000000"/>
          <w:sz w:val="22"/>
        </w:rPr>
        <w:t>）院方收到供应商提交的验收报告及相关资料后 5个工作日内组织有关单位验收，并在验收后 5个自然日给予认可或提出修改意见。供应商应当按修改意见进行修改，并承担由自身原因导致再次修改的费用。</w:t>
      </w:r>
    </w:p>
    <w:sectPr>
      <w:pgSz w:w="11906" w:h="16838"/>
      <w:pgMar w:top="1440" w:right="1080" w:bottom="1440" w:left="1080" w:header="851" w:footer="595"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方正书宋简体">
    <w:altName w:val="宋体"/>
    <w:panose1 w:val="00000000000000000000"/>
    <w:charset w:val="86"/>
    <w:family w:val="script"/>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Book Antiqua">
    <w:panose1 w:val="020406020503050303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D8F7B"/>
    <w:multiLevelType w:val="singleLevel"/>
    <w:tmpl w:val="AE2D8F7B"/>
    <w:lvl w:ilvl="0" w:tentative="0">
      <w:start w:val="1"/>
      <w:numFmt w:val="decimal"/>
      <w:pStyle w:val="13"/>
      <w:lvlText w:val="%1."/>
      <w:lvlJc w:val="left"/>
      <w:pPr>
        <w:tabs>
          <w:tab w:val="left" w:pos="360"/>
        </w:tabs>
        <w:ind w:left="360" w:hanging="360"/>
      </w:pPr>
    </w:lvl>
  </w:abstractNum>
  <w:abstractNum w:abstractNumId="1">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2">
    <w:nsid w:val="05E4231B"/>
    <w:multiLevelType w:val="multilevel"/>
    <w:tmpl w:val="05E4231B"/>
    <w:lvl w:ilvl="0" w:tentative="0">
      <w:start w:val="1"/>
      <w:numFmt w:val="decimal"/>
      <w:pStyle w:val="188"/>
      <w:lvlText w:val="图%1 "/>
      <w:lvlJc w:val="left"/>
      <w:pPr>
        <w:ind w:left="3398" w:hanging="420"/>
      </w:pPr>
      <w:rPr>
        <w:rFonts w:hint="eastAsia" w:ascii="Times New Roman" w:hAnsi="Times New Roman"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7A70CCB"/>
    <w:multiLevelType w:val="multilevel"/>
    <w:tmpl w:val="17A70CCB"/>
    <w:lvl w:ilvl="0" w:tentative="0">
      <w:start w:val="1"/>
      <w:numFmt w:val="bullet"/>
      <w:pStyle w:val="78"/>
      <w:lvlText w:val=""/>
      <w:lvlJc w:val="left"/>
      <w:pPr>
        <w:tabs>
          <w:tab w:val="left" w:pos="620"/>
        </w:tabs>
        <w:ind w:left="620"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B7B5B47"/>
    <w:multiLevelType w:val="multilevel"/>
    <w:tmpl w:val="2B7B5B47"/>
    <w:lvl w:ilvl="0" w:tentative="0">
      <w:start w:val="1"/>
      <w:numFmt w:val="decimal"/>
      <w:pStyle w:val="9"/>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B922E56"/>
    <w:multiLevelType w:val="multilevel"/>
    <w:tmpl w:val="2B922E56"/>
    <w:lvl w:ilvl="0" w:tentative="0">
      <w:start w:val="1"/>
      <w:numFmt w:val="decimal"/>
      <w:pStyle w:val="185"/>
      <w:lvlText w:val="表%1"/>
      <w:lvlJc w:val="left"/>
      <w:pPr>
        <w:ind w:left="1129" w:hanging="420"/>
      </w:pPr>
      <w:rPr>
        <w:rFonts w:hint="eastAsia"/>
        <w:b/>
        <w:i w:val="0"/>
      </w:rPr>
    </w:lvl>
    <w:lvl w:ilvl="1" w:tentative="0">
      <w:start w:val="1"/>
      <w:numFmt w:val="lowerLetter"/>
      <w:lvlText w:val="%2)"/>
      <w:lvlJc w:val="left"/>
      <w:pPr>
        <w:ind w:left="2520" w:hanging="420"/>
      </w:pPr>
    </w:lvl>
    <w:lvl w:ilvl="2" w:tentative="0">
      <w:start w:val="1"/>
      <w:numFmt w:val="lowerRoman"/>
      <w:lvlText w:val="%3."/>
      <w:lvlJc w:val="right"/>
      <w:pPr>
        <w:ind w:left="2940" w:hanging="420"/>
      </w:pPr>
    </w:lvl>
    <w:lvl w:ilvl="3" w:tentative="0">
      <w:start w:val="1"/>
      <w:numFmt w:val="decimal"/>
      <w:lvlText w:val="%4."/>
      <w:lvlJc w:val="left"/>
      <w:pPr>
        <w:ind w:left="3360" w:hanging="420"/>
      </w:pPr>
    </w:lvl>
    <w:lvl w:ilvl="4" w:tentative="0">
      <w:start w:val="1"/>
      <w:numFmt w:val="lowerLetter"/>
      <w:lvlText w:val="%5)"/>
      <w:lvlJc w:val="left"/>
      <w:pPr>
        <w:ind w:left="3780" w:hanging="420"/>
      </w:pPr>
    </w:lvl>
    <w:lvl w:ilvl="5" w:tentative="0">
      <w:start w:val="1"/>
      <w:numFmt w:val="lowerRoman"/>
      <w:lvlText w:val="%6."/>
      <w:lvlJc w:val="right"/>
      <w:pPr>
        <w:ind w:left="4200" w:hanging="420"/>
      </w:pPr>
    </w:lvl>
    <w:lvl w:ilvl="6" w:tentative="0">
      <w:start w:val="1"/>
      <w:numFmt w:val="decimal"/>
      <w:lvlText w:val="%7."/>
      <w:lvlJc w:val="left"/>
      <w:pPr>
        <w:ind w:left="4620" w:hanging="420"/>
      </w:pPr>
    </w:lvl>
    <w:lvl w:ilvl="7" w:tentative="0">
      <w:start w:val="1"/>
      <w:numFmt w:val="lowerLetter"/>
      <w:lvlText w:val="%8)"/>
      <w:lvlJc w:val="left"/>
      <w:pPr>
        <w:ind w:left="5040" w:hanging="420"/>
      </w:pPr>
    </w:lvl>
    <w:lvl w:ilvl="8" w:tentative="0">
      <w:start w:val="1"/>
      <w:numFmt w:val="lowerRoman"/>
      <w:lvlText w:val="%9."/>
      <w:lvlJc w:val="right"/>
      <w:pPr>
        <w:ind w:left="5460" w:hanging="420"/>
      </w:pPr>
    </w:lvl>
  </w:abstractNum>
  <w:abstractNum w:abstractNumId="6">
    <w:nsid w:val="35997399"/>
    <w:multiLevelType w:val="multilevel"/>
    <w:tmpl w:val="35997399"/>
    <w:lvl w:ilvl="0" w:tentative="0">
      <w:start w:val="1"/>
      <w:numFmt w:val="bullet"/>
      <w:pStyle w:val="90"/>
      <w:lvlText w:val=""/>
      <w:lvlJc w:val="left"/>
      <w:pPr>
        <w:ind w:left="42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3B8B7AC7"/>
    <w:multiLevelType w:val="multilevel"/>
    <w:tmpl w:val="3B8B7AC7"/>
    <w:lvl w:ilvl="0" w:tentative="0">
      <w:start w:val="1"/>
      <w:numFmt w:val="decimal"/>
      <w:pStyle w:val="2"/>
      <w:lvlText w:val="%1."/>
      <w:lvlJc w:val="left"/>
      <w:pPr>
        <w:ind w:left="420" w:hanging="420"/>
      </w:pPr>
      <w:rPr>
        <w:rFonts w:hint="eastAsia"/>
      </w:rPr>
    </w:lvl>
    <w:lvl w:ilvl="1" w:tentative="0">
      <w:start w:val="1"/>
      <w:numFmt w:val="decimal"/>
      <w:pStyle w:val="4"/>
      <w:isLgl/>
      <w:suff w:val="nothing"/>
      <w:lvlText w:val="%1.%2 "/>
      <w:lvlJc w:val="left"/>
      <w:pPr>
        <w:ind w:left="284" w:firstLine="0"/>
      </w:pPr>
      <w:rPr>
        <w:rFonts w:hint="eastAsia"/>
      </w:rPr>
    </w:lvl>
    <w:lvl w:ilvl="2" w:tentative="0">
      <w:start w:val="1"/>
      <w:numFmt w:val="decimal"/>
      <w:pStyle w:val="5"/>
      <w:isLgl/>
      <w:suff w:val="nothing"/>
      <w:lvlText w:val="%1.%2.%3 "/>
      <w:lvlJc w:val="left"/>
      <w:pPr>
        <w:ind w:left="0" w:firstLine="0"/>
      </w:pPr>
      <w:rPr>
        <w:rFonts w:hint="eastAsia"/>
      </w:rPr>
    </w:lvl>
    <w:lvl w:ilvl="3" w:tentative="0">
      <w:start w:val="1"/>
      <w:numFmt w:val="decimal"/>
      <w:pStyle w:val="6"/>
      <w:isLgl/>
      <w:suff w:val="nothing"/>
      <w:lvlText w:val="%1.%2.%3.%4 "/>
      <w:lvlJc w:val="left"/>
      <w:pPr>
        <w:ind w:left="0" w:firstLine="0"/>
      </w:pPr>
      <w:rPr>
        <w:rFonts w:hint="eastAsia"/>
      </w:rPr>
    </w:lvl>
    <w:lvl w:ilvl="4" w:tentative="0">
      <w:start w:val="1"/>
      <w:numFmt w:val="decimal"/>
      <w:pStyle w:val="7"/>
      <w:isLgl/>
      <w:suff w:val="nothing"/>
      <w:lvlText w:val="%1.%2.%3.%4.%5 "/>
      <w:lvlJc w:val="left"/>
      <w:pPr>
        <w:ind w:left="0" w:firstLine="0"/>
      </w:pPr>
      <w:rPr>
        <w:rFonts w:hint="eastAsia"/>
      </w:rPr>
    </w:lvl>
    <w:lvl w:ilvl="5" w:tentative="0">
      <w:start w:val="1"/>
      <w:numFmt w:val="decimal"/>
      <w:pStyle w:val="8"/>
      <w:isLgl/>
      <w:suff w:val="nothing"/>
      <w:lvlText w:val="%1.%2.%3.%4.%5.%6 "/>
      <w:lvlJc w:val="left"/>
      <w:pPr>
        <w:ind w:left="0" w:firstLine="0"/>
      </w:pPr>
      <w:rPr>
        <w:rFonts w:hint="eastAsia"/>
      </w:rPr>
    </w:lvl>
    <w:lvl w:ilvl="6" w:tentative="0">
      <w:start w:val="1"/>
      <w:numFmt w:val="decimal"/>
      <w:pStyle w:val="74"/>
      <w:suff w:val="nothing"/>
      <w:lvlText w:val="%7. "/>
      <w:lvlJc w:val="left"/>
      <w:pPr>
        <w:ind w:left="0" w:firstLine="0"/>
      </w:pPr>
      <w:rPr>
        <w:rFonts w:hint="eastAsia"/>
      </w:rPr>
    </w:lvl>
    <w:lvl w:ilvl="7" w:tentative="0">
      <w:start w:val="1"/>
      <w:numFmt w:val="decimal"/>
      <w:lvlRestart w:val="0"/>
      <w:pStyle w:val="75"/>
      <w:suff w:val="nothing"/>
      <w:lvlText w:val="%8). "/>
      <w:lvlJc w:val="left"/>
      <w:pPr>
        <w:ind w:left="0" w:firstLine="0"/>
      </w:pPr>
      <w:rPr>
        <w:rFonts w:hint="eastAsia"/>
      </w:rPr>
    </w:lvl>
    <w:lvl w:ilvl="8" w:tentative="0">
      <w:start w:val="1"/>
      <w:numFmt w:val="upperLetter"/>
      <w:lvlRestart w:val="0"/>
      <w:pStyle w:val="76"/>
      <w:suff w:val="nothing"/>
      <w:lvlText w:val="%9. "/>
      <w:lvlJc w:val="left"/>
      <w:pPr>
        <w:ind w:left="0" w:firstLine="0"/>
      </w:pPr>
      <w:rPr>
        <w:rFonts w:hint="eastAsia"/>
      </w:rPr>
    </w:lvl>
  </w:abstractNum>
  <w:abstractNum w:abstractNumId="8">
    <w:nsid w:val="46D929BB"/>
    <w:multiLevelType w:val="multilevel"/>
    <w:tmpl w:val="46D929B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9">
    <w:nsid w:val="4E7107F0"/>
    <w:multiLevelType w:val="multilevel"/>
    <w:tmpl w:val="4E7107F0"/>
    <w:lvl w:ilvl="0" w:tentative="0">
      <w:start w:val="1"/>
      <w:numFmt w:val="bullet"/>
      <w:pStyle w:val="77"/>
      <w:lvlText w:val=""/>
      <w:lvlJc w:val="left"/>
      <w:pPr>
        <w:tabs>
          <w:tab w:val="left" w:pos="520"/>
        </w:tabs>
        <w:ind w:left="520" w:hanging="420"/>
      </w:pPr>
      <w:rPr>
        <w:rFonts w:hint="default" w:ascii="Wingdings" w:hAnsi="Wingdings"/>
      </w:rPr>
    </w:lvl>
    <w:lvl w:ilvl="1" w:tentative="0">
      <w:start w:val="1"/>
      <w:numFmt w:val="decimal"/>
      <w:suff w:val="nothing"/>
      <w:lvlText w:val="%2.%1 "/>
      <w:lvlJc w:val="left"/>
      <w:pPr>
        <w:ind w:left="420" w:firstLine="0"/>
      </w:pPr>
      <w:rPr>
        <w:rFonts w:hint="eastAsia"/>
      </w:rPr>
    </w:lvl>
    <w:lvl w:ilvl="2" w:tentative="0">
      <w:start w:val="1"/>
      <w:numFmt w:val="decimal"/>
      <w:suff w:val="nothing"/>
      <w:lvlText w:val="%1.%2.%3 "/>
      <w:lvlJc w:val="left"/>
      <w:pPr>
        <w:ind w:left="420" w:firstLine="0"/>
      </w:pPr>
      <w:rPr>
        <w:rFonts w:hint="eastAsia"/>
      </w:rPr>
    </w:lvl>
    <w:lvl w:ilvl="3" w:tentative="0">
      <w:start w:val="1"/>
      <w:numFmt w:val="decimal"/>
      <w:suff w:val="nothing"/>
      <w:lvlText w:val="%1.%2.%3.%4 "/>
      <w:lvlJc w:val="left"/>
      <w:pPr>
        <w:ind w:left="420" w:firstLine="0"/>
      </w:pPr>
      <w:rPr>
        <w:rFonts w:hint="eastAsia"/>
      </w:rPr>
    </w:lvl>
    <w:lvl w:ilvl="4" w:tentative="0">
      <w:start w:val="1"/>
      <w:numFmt w:val="decimal"/>
      <w:suff w:val="nothing"/>
      <w:lvlText w:val="%1.%2.%3.%4.%5 "/>
      <w:lvlJc w:val="left"/>
      <w:pPr>
        <w:ind w:left="420" w:firstLine="0"/>
      </w:pPr>
      <w:rPr>
        <w:rFonts w:hint="eastAsia"/>
      </w:rPr>
    </w:lvl>
    <w:lvl w:ilvl="5" w:tentative="0">
      <w:start w:val="1"/>
      <w:numFmt w:val="decimal"/>
      <w:suff w:val="nothing"/>
      <w:lvlText w:val="%1.%2.%3.%4.%5.%6 "/>
      <w:lvlJc w:val="left"/>
      <w:pPr>
        <w:ind w:left="420" w:firstLine="0"/>
      </w:pPr>
      <w:rPr>
        <w:rFonts w:hint="eastAsia"/>
      </w:rPr>
    </w:lvl>
    <w:lvl w:ilvl="6" w:tentative="0">
      <w:start w:val="1"/>
      <w:numFmt w:val="decimal"/>
      <w:suff w:val="nothing"/>
      <w:lvlText w:val="%7."/>
      <w:lvlJc w:val="left"/>
      <w:pPr>
        <w:ind w:left="420" w:firstLine="0"/>
      </w:pPr>
      <w:rPr>
        <w:rFonts w:hint="eastAsia"/>
      </w:rPr>
    </w:lvl>
    <w:lvl w:ilvl="7" w:tentative="0">
      <w:start w:val="1"/>
      <w:numFmt w:val="none"/>
      <w:suff w:val="nothing"/>
      <w:lvlText w:val=""/>
      <w:lvlJc w:val="left"/>
      <w:pPr>
        <w:ind w:left="420" w:firstLine="0"/>
      </w:pPr>
      <w:rPr>
        <w:rFonts w:hint="eastAsia"/>
      </w:rPr>
    </w:lvl>
    <w:lvl w:ilvl="8" w:tentative="0">
      <w:start w:val="1"/>
      <w:numFmt w:val="none"/>
      <w:suff w:val="nothing"/>
      <w:lvlText w:val=""/>
      <w:lvlJc w:val="left"/>
      <w:pPr>
        <w:ind w:left="420" w:firstLine="0"/>
      </w:pPr>
      <w:rPr>
        <w:rFonts w:hint="eastAsia"/>
      </w:rPr>
    </w:lvl>
  </w:abstractNum>
  <w:abstractNum w:abstractNumId="10">
    <w:nsid w:val="5495164A"/>
    <w:multiLevelType w:val="multilevel"/>
    <w:tmpl w:val="5495164A"/>
    <w:lvl w:ilvl="0" w:tentative="0">
      <w:start w:val="1"/>
      <w:numFmt w:val="bullet"/>
      <w:pStyle w:val="66"/>
      <w:lvlText w:val=""/>
      <w:lvlJc w:val="left"/>
      <w:pPr>
        <w:tabs>
          <w:tab w:val="left" w:pos="820"/>
        </w:tabs>
        <w:ind w:left="820"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21D3DF3"/>
    <w:multiLevelType w:val="multilevel"/>
    <w:tmpl w:val="621D3DF3"/>
    <w:lvl w:ilvl="0" w:tentative="0">
      <w:start w:val="1"/>
      <w:numFmt w:val="bullet"/>
      <w:pStyle w:val="65"/>
      <w:lvlText w:val=""/>
      <w:lvlJc w:val="left"/>
      <w:pPr>
        <w:tabs>
          <w:tab w:val="left" w:pos="720"/>
        </w:tabs>
        <w:ind w:left="720"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66B27795"/>
    <w:multiLevelType w:val="multilevel"/>
    <w:tmpl w:val="66B27795"/>
    <w:lvl w:ilvl="0" w:tentative="0">
      <w:start w:val="1"/>
      <w:numFmt w:val="decimal"/>
      <w:pStyle w:val="184"/>
      <w:lvlText w:val="%1)"/>
      <w:lvlJc w:val="left"/>
      <w:pPr>
        <w:tabs>
          <w:tab w:val="left" w:pos="840"/>
        </w:tabs>
        <w:ind w:left="840" w:hanging="420"/>
      </w:pPr>
      <w:rPr>
        <w:rFonts w:hint="eastAsia"/>
      </w:rPr>
    </w:lvl>
    <w:lvl w:ilvl="1" w:tentative="0">
      <w:start w:val="1"/>
      <w:numFmt w:val="decimal"/>
      <w:lvlText w:val="(%2)"/>
      <w:lvlJc w:val="left"/>
      <w:pPr>
        <w:tabs>
          <w:tab w:val="left" w:pos="1000"/>
        </w:tabs>
        <w:ind w:left="1000" w:hanging="360"/>
      </w:pPr>
      <w:rPr>
        <w:rFonts w:hint="default"/>
      </w:rPr>
    </w:lvl>
    <w:lvl w:ilvl="2" w:tentative="0">
      <w:start w:val="1"/>
      <w:numFmt w:val="lowerRoman"/>
      <w:lvlText w:val="%3."/>
      <w:lvlJc w:val="right"/>
      <w:pPr>
        <w:tabs>
          <w:tab w:val="left" w:pos="1480"/>
        </w:tabs>
        <w:ind w:left="1480" w:hanging="420"/>
      </w:pPr>
    </w:lvl>
    <w:lvl w:ilvl="3" w:tentative="0">
      <w:start w:val="1"/>
      <w:numFmt w:val="decimal"/>
      <w:lvlText w:val="%4."/>
      <w:lvlJc w:val="left"/>
      <w:pPr>
        <w:tabs>
          <w:tab w:val="left" w:pos="1900"/>
        </w:tabs>
        <w:ind w:left="1900" w:hanging="420"/>
      </w:pPr>
    </w:lvl>
    <w:lvl w:ilvl="4" w:tentative="0">
      <w:start w:val="1"/>
      <w:numFmt w:val="lowerLetter"/>
      <w:lvlText w:val="%5)"/>
      <w:lvlJc w:val="left"/>
      <w:pPr>
        <w:tabs>
          <w:tab w:val="left" w:pos="2320"/>
        </w:tabs>
        <w:ind w:left="2320" w:hanging="420"/>
      </w:pPr>
    </w:lvl>
    <w:lvl w:ilvl="5" w:tentative="0">
      <w:start w:val="1"/>
      <w:numFmt w:val="lowerRoman"/>
      <w:lvlText w:val="%6."/>
      <w:lvlJc w:val="right"/>
      <w:pPr>
        <w:tabs>
          <w:tab w:val="left" w:pos="2740"/>
        </w:tabs>
        <w:ind w:left="2740" w:hanging="420"/>
      </w:pPr>
    </w:lvl>
    <w:lvl w:ilvl="6" w:tentative="0">
      <w:start w:val="1"/>
      <w:numFmt w:val="decimal"/>
      <w:lvlText w:val="%7."/>
      <w:lvlJc w:val="left"/>
      <w:pPr>
        <w:tabs>
          <w:tab w:val="left" w:pos="3160"/>
        </w:tabs>
        <w:ind w:left="3160" w:hanging="420"/>
      </w:pPr>
    </w:lvl>
    <w:lvl w:ilvl="7" w:tentative="0">
      <w:start w:val="1"/>
      <w:numFmt w:val="lowerLetter"/>
      <w:lvlText w:val="%8)"/>
      <w:lvlJc w:val="left"/>
      <w:pPr>
        <w:tabs>
          <w:tab w:val="left" w:pos="3580"/>
        </w:tabs>
        <w:ind w:left="3580" w:hanging="420"/>
      </w:pPr>
    </w:lvl>
    <w:lvl w:ilvl="8" w:tentative="0">
      <w:start w:val="1"/>
      <w:numFmt w:val="lowerRoman"/>
      <w:lvlText w:val="%9."/>
      <w:lvlJc w:val="right"/>
      <w:pPr>
        <w:tabs>
          <w:tab w:val="left" w:pos="4000"/>
        </w:tabs>
        <w:ind w:left="4000" w:hanging="420"/>
      </w:pPr>
    </w:lvl>
  </w:abstractNum>
  <w:abstractNum w:abstractNumId="13">
    <w:nsid w:val="6DE23D8B"/>
    <w:multiLevelType w:val="multilevel"/>
    <w:tmpl w:val="6DE23D8B"/>
    <w:lvl w:ilvl="0" w:tentative="0">
      <w:start w:val="1"/>
      <w:numFmt w:val="bullet"/>
      <w:lvlText w:val=""/>
      <w:lvlJc w:val="left"/>
      <w:pPr>
        <w:ind w:left="900" w:hanging="420"/>
      </w:pPr>
      <w:rPr>
        <w:rFonts w:hint="default" w:ascii="Wingdings" w:hAnsi="Wingdings"/>
      </w:rPr>
    </w:lvl>
    <w:lvl w:ilvl="1" w:tentative="0">
      <w:start w:val="1"/>
      <w:numFmt w:val="bullet"/>
      <w:pStyle w:val="187"/>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4">
    <w:nsid w:val="7DEA45E9"/>
    <w:multiLevelType w:val="multilevel"/>
    <w:tmpl w:val="7DEA45E9"/>
    <w:lvl w:ilvl="0" w:tentative="0">
      <w:start w:val="1"/>
      <w:numFmt w:val="bullet"/>
      <w:pStyle w:val="86"/>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7EAD0513"/>
    <w:multiLevelType w:val="multilevel"/>
    <w:tmpl w:val="7EAD0513"/>
    <w:lvl w:ilvl="0" w:tentative="0">
      <w:start w:val="1"/>
      <w:numFmt w:val="decimal"/>
      <w:pStyle w:val="8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4"/>
  </w:num>
  <w:num w:numId="3">
    <w:abstractNumId w:val="0"/>
  </w:num>
  <w:num w:numId="4">
    <w:abstractNumId w:val="1"/>
  </w:num>
  <w:num w:numId="5">
    <w:abstractNumId w:val="11"/>
  </w:num>
  <w:num w:numId="6">
    <w:abstractNumId w:val="10"/>
  </w:num>
  <w:num w:numId="7">
    <w:abstractNumId w:val="9"/>
  </w:num>
  <w:num w:numId="8">
    <w:abstractNumId w:val="3"/>
  </w:num>
  <w:num w:numId="9">
    <w:abstractNumId w:val="15"/>
  </w:num>
  <w:num w:numId="10">
    <w:abstractNumId w:val="14"/>
  </w:num>
  <w:num w:numId="11">
    <w:abstractNumId w:val="6"/>
  </w:num>
  <w:num w:numId="12">
    <w:abstractNumId w:val="12"/>
    <w:lvlOverride w:ilvl="0">
      <w:startOverride w:val="1"/>
    </w:lvlOverride>
  </w:num>
  <w:num w:numId="13">
    <w:abstractNumId w:val="5"/>
  </w:num>
  <w:num w:numId="14">
    <w:abstractNumId w:val="13"/>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linkStyles/>
  <w:attachedTemplate r:id="rId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8D1F0C"/>
    <w:rsid w:val="00011161"/>
    <w:rsid w:val="00011725"/>
    <w:rsid w:val="000151B0"/>
    <w:rsid w:val="000235C6"/>
    <w:rsid w:val="00027075"/>
    <w:rsid w:val="00031B17"/>
    <w:rsid w:val="0003466E"/>
    <w:rsid w:val="0005579B"/>
    <w:rsid w:val="000601FA"/>
    <w:rsid w:val="000629B8"/>
    <w:rsid w:val="000677E1"/>
    <w:rsid w:val="00092E6A"/>
    <w:rsid w:val="00097337"/>
    <w:rsid w:val="000A185D"/>
    <w:rsid w:val="000A4505"/>
    <w:rsid w:val="000B1687"/>
    <w:rsid w:val="000B7847"/>
    <w:rsid w:val="000C65B1"/>
    <w:rsid w:val="000D3088"/>
    <w:rsid w:val="000D5DFE"/>
    <w:rsid w:val="000D65F2"/>
    <w:rsid w:val="000E4663"/>
    <w:rsid w:val="0010075B"/>
    <w:rsid w:val="00101341"/>
    <w:rsid w:val="00103740"/>
    <w:rsid w:val="00115395"/>
    <w:rsid w:val="00121947"/>
    <w:rsid w:val="00141905"/>
    <w:rsid w:val="001508CE"/>
    <w:rsid w:val="00154CA1"/>
    <w:rsid w:val="00156E88"/>
    <w:rsid w:val="001739BA"/>
    <w:rsid w:val="001758A8"/>
    <w:rsid w:val="00177706"/>
    <w:rsid w:val="00180EE3"/>
    <w:rsid w:val="00182219"/>
    <w:rsid w:val="001836F9"/>
    <w:rsid w:val="001929F2"/>
    <w:rsid w:val="00192C7B"/>
    <w:rsid w:val="00195808"/>
    <w:rsid w:val="00195CF5"/>
    <w:rsid w:val="001A1FBE"/>
    <w:rsid w:val="001A7556"/>
    <w:rsid w:val="001B21A9"/>
    <w:rsid w:val="001B2E38"/>
    <w:rsid w:val="001B52AC"/>
    <w:rsid w:val="001B5726"/>
    <w:rsid w:val="001D262A"/>
    <w:rsid w:val="001D7E21"/>
    <w:rsid w:val="001E0803"/>
    <w:rsid w:val="001E32A7"/>
    <w:rsid w:val="001E3EEF"/>
    <w:rsid w:val="001E4EFB"/>
    <w:rsid w:val="001E6A88"/>
    <w:rsid w:val="001F15A4"/>
    <w:rsid w:val="001F3239"/>
    <w:rsid w:val="00212539"/>
    <w:rsid w:val="00214EB5"/>
    <w:rsid w:val="002215D6"/>
    <w:rsid w:val="00226648"/>
    <w:rsid w:val="00231F95"/>
    <w:rsid w:val="00232588"/>
    <w:rsid w:val="0023640A"/>
    <w:rsid w:val="00245561"/>
    <w:rsid w:val="00245C1E"/>
    <w:rsid w:val="0025178F"/>
    <w:rsid w:val="002531B1"/>
    <w:rsid w:val="0025512C"/>
    <w:rsid w:val="00262F05"/>
    <w:rsid w:val="00275DDF"/>
    <w:rsid w:val="00276A01"/>
    <w:rsid w:val="00284700"/>
    <w:rsid w:val="002906B1"/>
    <w:rsid w:val="00292D70"/>
    <w:rsid w:val="0029459B"/>
    <w:rsid w:val="00296ED1"/>
    <w:rsid w:val="002A26E5"/>
    <w:rsid w:val="002A4E1B"/>
    <w:rsid w:val="002A5D1F"/>
    <w:rsid w:val="002A5DAB"/>
    <w:rsid w:val="002A633A"/>
    <w:rsid w:val="002B17AD"/>
    <w:rsid w:val="002B4E2D"/>
    <w:rsid w:val="002B742D"/>
    <w:rsid w:val="002D114B"/>
    <w:rsid w:val="002D2A9F"/>
    <w:rsid w:val="002D3E46"/>
    <w:rsid w:val="002D6447"/>
    <w:rsid w:val="002E31E2"/>
    <w:rsid w:val="002E5422"/>
    <w:rsid w:val="002E6FBB"/>
    <w:rsid w:val="002F039C"/>
    <w:rsid w:val="002F2015"/>
    <w:rsid w:val="002F4901"/>
    <w:rsid w:val="00314A1B"/>
    <w:rsid w:val="003170C7"/>
    <w:rsid w:val="0033466D"/>
    <w:rsid w:val="0034357F"/>
    <w:rsid w:val="00343868"/>
    <w:rsid w:val="00347400"/>
    <w:rsid w:val="00351B36"/>
    <w:rsid w:val="00357242"/>
    <w:rsid w:val="00357C24"/>
    <w:rsid w:val="00363EC1"/>
    <w:rsid w:val="00372078"/>
    <w:rsid w:val="003A47B8"/>
    <w:rsid w:val="003A53ED"/>
    <w:rsid w:val="003A56F3"/>
    <w:rsid w:val="003B06E0"/>
    <w:rsid w:val="003B13DF"/>
    <w:rsid w:val="003B5C4F"/>
    <w:rsid w:val="003B72FC"/>
    <w:rsid w:val="003C0AC0"/>
    <w:rsid w:val="003C3B98"/>
    <w:rsid w:val="003C7EC3"/>
    <w:rsid w:val="003D31CE"/>
    <w:rsid w:val="003E2279"/>
    <w:rsid w:val="003E2CC9"/>
    <w:rsid w:val="003E2D8B"/>
    <w:rsid w:val="003E34F7"/>
    <w:rsid w:val="003E3CBF"/>
    <w:rsid w:val="003F2B68"/>
    <w:rsid w:val="003F6B95"/>
    <w:rsid w:val="003F78DB"/>
    <w:rsid w:val="004051B5"/>
    <w:rsid w:val="00405728"/>
    <w:rsid w:val="004066C8"/>
    <w:rsid w:val="00417DB5"/>
    <w:rsid w:val="0042560C"/>
    <w:rsid w:val="004261F2"/>
    <w:rsid w:val="00427693"/>
    <w:rsid w:val="00446153"/>
    <w:rsid w:val="004538AF"/>
    <w:rsid w:val="00454471"/>
    <w:rsid w:val="00472686"/>
    <w:rsid w:val="00472FF3"/>
    <w:rsid w:val="004777F9"/>
    <w:rsid w:val="004818A5"/>
    <w:rsid w:val="00490955"/>
    <w:rsid w:val="00495CD6"/>
    <w:rsid w:val="0049764B"/>
    <w:rsid w:val="004A168B"/>
    <w:rsid w:val="004B3BA6"/>
    <w:rsid w:val="004B4CE0"/>
    <w:rsid w:val="004C2E3E"/>
    <w:rsid w:val="004C302D"/>
    <w:rsid w:val="004C67FB"/>
    <w:rsid w:val="004D1E58"/>
    <w:rsid w:val="004D633F"/>
    <w:rsid w:val="004E0866"/>
    <w:rsid w:val="004E1F6C"/>
    <w:rsid w:val="004E2ADD"/>
    <w:rsid w:val="004F2051"/>
    <w:rsid w:val="00507F16"/>
    <w:rsid w:val="00511923"/>
    <w:rsid w:val="00513D60"/>
    <w:rsid w:val="00514C2A"/>
    <w:rsid w:val="005303B4"/>
    <w:rsid w:val="005418D0"/>
    <w:rsid w:val="00547A82"/>
    <w:rsid w:val="0055196F"/>
    <w:rsid w:val="00564278"/>
    <w:rsid w:val="00566C40"/>
    <w:rsid w:val="00567E27"/>
    <w:rsid w:val="00572D80"/>
    <w:rsid w:val="00587F57"/>
    <w:rsid w:val="005921AB"/>
    <w:rsid w:val="005A755F"/>
    <w:rsid w:val="005B14F6"/>
    <w:rsid w:val="005B4982"/>
    <w:rsid w:val="005B6804"/>
    <w:rsid w:val="005B75C5"/>
    <w:rsid w:val="005D1FDB"/>
    <w:rsid w:val="005D2C7E"/>
    <w:rsid w:val="005D36CC"/>
    <w:rsid w:val="005F1C10"/>
    <w:rsid w:val="005F2AEC"/>
    <w:rsid w:val="005F652A"/>
    <w:rsid w:val="00601D12"/>
    <w:rsid w:val="006110A2"/>
    <w:rsid w:val="00615EFC"/>
    <w:rsid w:val="006203F3"/>
    <w:rsid w:val="00621EE5"/>
    <w:rsid w:val="0062220E"/>
    <w:rsid w:val="006341AB"/>
    <w:rsid w:val="00634270"/>
    <w:rsid w:val="006373F7"/>
    <w:rsid w:val="006468DB"/>
    <w:rsid w:val="00647805"/>
    <w:rsid w:val="00661E9C"/>
    <w:rsid w:val="00665B93"/>
    <w:rsid w:val="00667BA5"/>
    <w:rsid w:val="00680E95"/>
    <w:rsid w:val="00682C49"/>
    <w:rsid w:val="006856F4"/>
    <w:rsid w:val="006865C5"/>
    <w:rsid w:val="00691E8C"/>
    <w:rsid w:val="00697F82"/>
    <w:rsid w:val="006A7EB5"/>
    <w:rsid w:val="006E3C02"/>
    <w:rsid w:val="006E5523"/>
    <w:rsid w:val="006E7914"/>
    <w:rsid w:val="006F5D5D"/>
    <w:rsid w:val="006F655E"/>
    <w:rsid w:val="00701359"/>
    <w:rsid w:val="00702B02"/>
    <w:rsid w:val="00716BF5"/>
    <w:rsid w:val="00717486"/>
    <w:rsid w:val="00720B64"/>
    <w:rsid w:val="00720EAF"/>
    <w:rsid w:val="00726C64"/>
    <w:rsid w:val="00726E40"/>
    <w:rsid w:val="0072721B"/>
    <w:rsid w:val="00733495"/>
    <w:rsid w:val="00742FDC"/>
    <w:rsid w:val="00744047"/>
    <w:rsid w:val="00751062"/>
    <w:rsid w:val="0075599E"/>
    <w:rsid w:val="0075645B"/>
    <w:rsid w:val="007802FD"/>
    <w:rsid w:val="007809AB"/>
    <w:rsid w:val="00784E0F"/>
    <w:rsid w:val="00784E4C"/>
    <w:rsid w:val="007870DA"/>
    <w:rsid w:val="00787B05"/>
    <w:rsid w:val="007A17E5"/>
    <w:rsid w:val="007A3D78"/>
    <w:rsid w:val="007A7473"/>
    <w:rsid w:val="007B1A42"/>
    <w:rsid w:val="007B551C"/>
    <w:rsid w:val="007C08E3"/>
    <w:rsid w:val="007C4EB2"/>
    <w:rsid w:val="007C5FC4"/>
    <w:rsid w:val="007C66B8"/>
    <w:rsid w:val="007C72BB"/>
    <w:rsid w:val="007D5B7E"/>
    <w:rsid w:val="00807BBC"/>
    <w:rsid w:val="0081197F"/>
    <w:rsid w:val="00813CE2"/>
    <w:rsid w:val="008209FA"/>
    <w:rsid w:val="00824912"/>
    <w:rsid w:val="008322B3"/>
    <w:rsid w:val="00844090"/>
    <w:rsid w:val="00844AA1"/>
    <w:rsid w:val="00845DF9"/>
    <w:rsid w:val="00855D58"/>
    <w:rsid w:val="00857ECA"/>
    <w:rsid w:val="008601C2"/>
    <w:rsid w:val="008700A6"/>
    <w:rsid w:val="00874F76"/>
    <w:rsid w:val="00885E6F"/>
    <w:rsid w:val="00886058"/>
    <w:rsid w:val="00892D4D"/>
    <w:rsid w:val="00894200"/>
    <w:rsid w:val="008943DE"/>
    <w:rsid w:val="008A2949"/>
    <w:rsid w:val="008B4321"/>
    <w:rsid w:val="008C09EE"/>
    <w:rsid w:val="008C63A1"/>
    <w:rsid w:val="008D1275"/>
    <w:rsid w:val="008D1F0C"/>
    <w:rsid w:val="008D65E4"/>
    <w:rsid w:val="008E06C2"/>
    <w:rsid w:val="008E5F18"/>
    <w:rsid w:val="008F143D"/>
    <w:rsid w:val="008F61C8"/>
    <w:rsid w:val="008F6689"/>
    <w:rsid w:val="00902010"/>
    <w:rsid w:val="00902678"/>
    <w:rsid w:val="009210BA"/>
    <w:rsid w:val="00921B9C"/>
    <w:rsid w:val="00926641"/>
    <w:rsid w:val="00927DDE"/>
    <w:rsid w:val="00932D28"/>
    <w:rsid w:val="00933076"/>
    <w:rsid w:val="009566AB"/>
    <w:rsid w:val="00960053"/>
    <w:rsid w:val="00961281"/>
    <w:rsid w:val="00980108"/>
    <w:rsid w:val="0098029D"/>
    <w:rsid w:val="00984E0F"/>
    <w:rsid w:val="009853B2"/>
    <w:rsid w:val="00985492"/>
    <w:rsid w:val="00996BAC"/>
    <w:rsid w:val="009A6027"/>
    <w:rsid w:val="009A6790"/>
    <w:rsid w:val="009A686E"/>
    <w:rsid w:val="009B2909"/>
    <w:rsid w:val="009B7C87"/>
    <w:rsid w:val="009C77DD"/>
    <w:rsid w:val="009D11D4"/>
    <w:rsid w:val="009D6DB8"/>
    <w:rsid w:val="009E1931"/>
    <w:rsid w:val="009F69E8"/>
    <w:rsid w:val="009F709D"/>
    <w:rsid w:val="009F72E7"/>
    <w:rsid w:val="00A05A05"/>
    <w:rsid w:val="00A062A3"/>
    <w:rsid w:val="00A15216"/>
    <w:rsid w:val="00A21D46"/>
    <w:rsid w:val="00A30C89"/>
    <w:rsid w:val="00A348A9"/>
    <w:rsid w:val="00A45142"/>
    <w:rsid w:val="00A475FB"/>
    <w:rsid w:val="00A5393B"/>
    <w:rsid w:val="00A55633"/>
    <w:rsid w:val="00A81ADA"/>
    <w:rsid w:val="00A83D25"/>
    <w:rsid w:val="00A86C1B"/>
    <w:rsid w:val="00A90645"/>
    <w:rsid w:val="00A90A3D"/>
    <w:rsid w:val="00A9792F"/>
    <w:rsid w:val="00A97B10"/>
    <w:rsid w:val="00AA6AFD"/>
    <w:rsid w:val="00AA7267"/>
    <w:rsid w:val="00AB1AC4"/>
    <w:rsid w:val="00AB60A9"/>
    <w:rsid w:val="00AB74BA"/>
    <w:rsid w:val="00AC240C"/>
    <w:rsid w:val="00AC35F3"/>
    <w:rsid w:val="00AD1E2E"/>
    <w:rsid w:val="00AD3650"/>
    <w:rsid w:val="00AD78AE"/>
    <w:rsid w:val="00AE35E1"/>
    <w:rsid w:val="00AE3C09"/>
    <w:rsid w:val="00AF619B"/>
    <w:rsid w:val="00B115AD"/>
    <w:rsid w:val="00B22005"/>
    <w:rsid w:val="00B25682"/>
    <w:rsid w:val="00B36757"/>
    <w:rsid w:val="00B445C3"/>
    <w:rsid w:val="00B51B6C"/>
    <w:rsid w:val="00B54AB9"/>
    <w:rsid w:val="00B64C3A"/>
    <w:rsid w:val="00B700DB"/>
    <w:rsid w:val="00B7169E"/>
    <w:rsid w:val="00B725B0"/>
    <w:rsid w:val="00B76209"/>
    <w:rsid w:val="00B826A6"/>
    <w:rsid w:val="00B84CF4"/>
    <w:rsid w:val="00B87CE6"/>
    <w:rsid w:val="00B93DB4"/>
    <w:rsid w:val="00B93F33"/>
    <w:rsid w:val="00BA1DF6"/>
    <w:rsid w:val="00BB01BA"/>
    <w:rsid w:val="00BC10B0"/>
    <w:rsid w:val="00BC15B1"/>
    <w:rsid w:val="00BD70BD"/>
    <w:rsid w:val="00C0627B"/>
    <w:rsid w:val="00C07640"/>
    <w:rsid w:val="00C1164C"/>
    <w:rsid w:val="00C27CD4"/>
    <w:rsid w:val="00C27D55"/>
    <w:rsid w:val="00C412F6"/>
    <w:rsid w:val="00C44F6A"/>
    <w:rsid w:val="00C5526E"/>
    <w:rsid w:val="00C70AE1"/>
    <w:rsid w:val="00C74E64"/>
    <w:rsid w:val="00C7733C"/>
    <w:rsid w:val="00C802BA"/>
    <w:rsid w:val="00C8696A"/>
    <w:rsid w:val="00C87407"/>
    <w:rsid w:val="00C87B28"/>
    <w:rsid w:val="00C91439"/>
    <w:rsid w:val="00C9183B"/>
    <w:rsid w:val="00C92D8F"/>
    <w:rsid w:val="00CB07CA"/>
    <w:rsid w:val="00CB0BBC"/>
    <w:rsid w:val="00CB11A7"/>
    <w:rsid w:val="00CB6E7B"/>
    <w:rsid w:val="00CC16B8"/>
    <w:rsid w:val="00CC2879"/>
    <w:rsid w:val="00CD6F34"/>
    <w:rsid w:val="00CE0F40"/>
    <w:rsid w:val="00CE6D34"/>
    <w:rsid w:val="00CE7DFA"/>
    <w:rsid w:val="00CF0508"/>
    <w:rsid w:val="00CF6F42"/>
    <w:rsid w:val="00D111BD"/>
    <w:rsid w:val="00D35B94"/>
    <w:rsid w:val="00D35D87"/>
    <w:rsid w:val="00D43173"/>
    <w:rsid w:val="00D43EE0"/>
    <w:rsid w:val="00D45D81"/>
    <w:rsid w:val="00D62FDA"/>
    <w:rsid w:val="00D66B0E"/>
    <w:rsid w:val="00D70AA9"/>
    <w:rsid w:val="00D74CC3"/>
    <w:rsid w:val="00D84307"/>
    <w:rsid w:val="00D93A36"/>
    <w:rsid w:val="00D966CB"/>
    <w:rsid w:val="00D9683B"/>
    <w:rsid w:val="00D9688F"/>
    <w:rsid w:val="00D96F44"/>
    <w:rsid w:val="00DA1F49"/>
    <w:rsid w:val="00DA23C5"/>
    <w:rsid w:val="00DB07A5"/>
    <w:rsid w:val="00DB717A"/>
    <w:rsid w:val="00DC157A"/>
    <w:rsid w:val="00DC4FEF"/>
    <w:rsid w:val="00DC568D"/>
    <w:rsid w:val="00DC576F"/>
    <w:rsid w:val="00DD0652"/>
    <w:rsid w:val="00DD250D"/>
    <w:rsid w:val="00DE2ABC"/>
    <w:rsid w:val="00DE7800"/>
    <w:rsid w:val="00E04E3B"/>
    <w:rsid w:val="00E06A7D"/>
    <w:rsid w:val="00E13388"/>
    <w:rsid w:val="00E13A45"/>
    <w:rsid w:val="00E22140"/>
    <w:rsid w:val="00E459E0"/>
    <w:rsid w:val="00E67F2B"/>
    <w:rsid w:val="00E70AE9"/>
    <w:rsid w:val="00E71FA7"/>
    <w:rsid w:val="00E7211B"/>
    <w:rsid w:val="00E829F8"/>
    <w:rsid w:val="00E90707"/>
    <w:rsid w:val="00E94AE9"/>
    <w:rsid w:val="00E95459"/>
    <w:rsid w:val="00E9552C"/>
    <w:rsid w:val="00E9710A"/>
    <w:rsid w:val="00EA6107"/>
    <w:rsid w:val="00EA7904"/>
    <w:rsid w:val="00ED2972"/>
    <w:rsid w:val="00EE5A96"/>
    <w:rsid w:val="00EF032F"/>
    <w:rsid w:val="00EF24D9"/>
    <w:rsid w:val="00F00CD3"/>
    <w:rsid w:val="00F00D40"/>
    <w:rsid w:val="00F060EC"/>
    <w:rsid w:val="00F12308"/>
    <w:rsid w:val="00F142D1"/>
    <w:rsid w:val="00F14868"/>
    <w:rsid w:val="00F1579B"/>
    <w:rsid w:val="00F22BA5"/>
    <w:rsid w:val="00F35CB5"/>
    <w:rsid w:val="00F36867"/>
    <w:rsid w:val="00F3694F"/>
    <w:rsid w:val="00F44C30"/>
    <w:rsid w:val="00F52CF8"/>
    <w:rsid w:val="00F56932"/>
    <w:rsid w:val="00F60E02"/>
    <w:rsid w:val="00F720D5"/>
    <w:rsid w:val="00F756C8"/>
    <w:rsid w:val="00F774D9"/>
    <w:rsid w:val="00F80C64"/>
    <w:rsid w:val="00F82171"/>
    <w:rsid w:val="00F82C32"/>
    <w:rsid w:val="00F957ED"/>
    <w:rsid w:val="00FA0E49"/>
    <w:rsid w:val="00FB662A"/>
    <w:rsid w:val="00FC3130"/>
    <w:rsid w:val="00FD00EA"/>
    <w:rsid w:val="00FD1917"/>
    <w:rsid w:val="00FD37E5"/>
    <w:rsid w:val="00FD7FD7"/>
    <w:rsid w:val="00FE4E55"/>
    <w:rsid w:val="00FE70EC"/>
    <w:rsid w:val="00FF350D"/>
    <w:rsid w:val="00FF3B26"/>
    <w:rsid w:val="00FF5CC2"/>
    <w:rsid w:val="00FF7CDC"/>
    <w:rsid w:val="2530265F"/>
    <w:rsid w:val="7D934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uiPriority="99" w:name="Body Text First Indent 2"/>
    <w:lsdException w:uiPriority="99" w:name="Note Heading"/>
    <w:lsdException w:qFormat="1" w:uiPriority="99" w:name="Body Text 2"/>
    <w:lsdException w:qFormat="1" w:uiPriority="0" w:semiHidden="0" w:name="Body Text 3"/>
    <w:lsdException w:uiPriority="99" w:name="Body Text Indent 2"/>
    <w:lsdException w:qFormat="1" w:uiPriority="99" w:name="Body Text Indent 3"/>
    <w:lsdException w:qFormat="1" w:unhideWhenUsed="0" w:uiPriority="0" w:semiHidden="0" w:name="Block Text"/>
    <w:lsdException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3"/>
    <w:link w:val="53"/>
    <w:qFormat/>
    <w:uiPriority w:val="0"/>
    <w:pPr>
      <w:numPr>
        <w:ilvl w:val="0"/>
        <w:numId w:val="1"/>
      </w:numPr>
      <w:spacing w:before="50" w:beforeLines="50" w:after="50" w:afterLines="50"/>
      <w:outlineLvl w:val="0"/>
    </w:pPr>
    <w:rPr>
      <w:rFonts w:eastAsia="黑体"/>
      <w:b/>
      <w:bCs/>
      <w:kern w:val="44"/>
      <w:sz w:val="44"/>
      <w:szCs w:val="44"/>
    </w:rPr>
  </w:style>
  <w:style w:type="paragraph" w:styleId="4">
    <w:name w:val="heading 2"/>
    <w:basedOn w:val="1"/>
    <w:next w:val="3"/>
    <w:link w:val="54"/>
    <w:qFormat/>
    <w:uiPriority w:val="0"/>
    <w:pPr>
      <w:numPr>
        <w:ilvl w:val="1"/>
        <w:numId w:val="1"/>
      </w:numPr>
      <w:spacing w:before="50" w:beforeLines="50" w:after="50" w:afterLines="50"/>
      <w:outlineLvl w:val="1"/>
    </w:pPr>
    <w:rPr>
      <w:rFonts w:eastAsia="黑体"/>
      <w:b/>
      <w:bCs/>
      <w:sz w:val="36"/>
      <w:szCs w:val="36"/>
    </w:rPr>
  </w:style>
  <w:style w:type="paragraph" w:styleId="5">
    <w:name w:val="heading 3"/>
    <w:basedOn w:val="1"/>
    <w:next w:val="3"/>
    <w:link w:val="55"/>
    <w:qFormat/>
    <w:uiPriority w:val="0"/>
    <w:pPr>
      <w:numPr>
        <w:ilvl w:val="2"/>
        <w:numId w:val="1"/>
      </w:numPr>
      <w:spacing w:before="50" w:beforeLines="50" w:after="50" w:afterLines="50"/>
      <w:outlineLvl w:val="2"/>
    </w:pPr>
    <w:rPr>
      <w:rFonts w:eastAsia="黑体"/>
      <w:b/>
      <w:bCs/>
      <w:sz w:val="32"/>
      <w:szCs w:val="32"/>
    </w:rPr>
  </w:style>
  <w:style w:type="paragraph" w:styleId="6">
    <w:name w:val="heading 4"/>
    <w:basedOn w:val="1"/>
    <w:next w:val="3"/>
    <w:link w:val="56"/>
    <w:qFormat/>
    <w:uiPriority w:val="0"/>
    <w:pPr>
      <w:numPr>
        <w:ilvl w:val="3"/>
        <w:numId w:val="1"/>
      </w:numPr>
      <w:spacing w:before="50" w:beforeLines="50" w:after="50" w:afterLines="50"/>
      <w:outlineLvl w:val="3"/>
    </w:pPr>
    <w:rPr>
      <w:rFonts w:eastAsia="黑体"/>
      <w:b/>
      <w:bCs/>
      <w:sz w:val="30"/>
      <w:szCs w:val="30"/>
    </w:rPr>
  </w:style>
  <w:style w:type="paragraph" w:styleId="7">
    <w:name w:val="heading 5"/>
    <w:basedOn w:val="1"/>
    <w:next w:val="3"/>
    <w:link w:val="57"/>
    <w:qFormat/>
    <w:uiPriority w:val="0"/>
    <w:pPr>
      <w:numPr>
        <w:ilvl w:val="4"/>
        <w:numId w:val="1"/>
      </w:numPr>
      <w:spacing w:before="50" w:beforeLines="50" w:after="50" w:afterLines="50"/>
      <w:outlineLvl w:val="4"/>
    </w:pPr>
    <w:rPr>
      <w:rFonts w:eastAsia="黑体"/>
      <w:b/>
      <w:bCs/>
      <w:sz w:val="28"/>
      <w:szCs w:val="28"/>
    </w:rPr>
  </w:style>
  <w:style w:type="paragraph" w:styleId="8">
    <w:name w:val="heading 6"/>
    <w:basedOn w:val="1"/>
    <w:next w:val="3"/>
    <w:link w:val="58"/>
    <w:qFormat/>
    <w:uiPriority w:val="0"/>
    <w:pPr>
      <w:numPr>
        <w:ilvl w:val="5"/>
        <w:numId w:val="1"/>
      </w:numPr>
      <w:spacing w:before="100" w:beforeAutospacing="1" w:after="100" w:afterAutospacing="1"/>
      <w:outlineLvl w:val="5"/>
    </w:pPr>
    <w:rPr>
      <w:rFonts w:eastAsia="黑体"/>
      <w:b/>
      <w:bCs/>
    </w:rPr>
  </w:style>
  <w:style w:type="paragraph" w:styleId="9">
    <w:name w:val="heading 7"/>
    <w:basedOn w:val="1"/>
    <w:next w:val="3"/>
    <w:link w:val="59"/>
    <w:qFormat/>
    <w:uiPriority w:val="0"/>
    <w:pPr>
      <w:keepNext/>
      <w:keepLines/>
      <w:numPr>
        <w:ilvl w:val="0"/>
        <w:numId w:val="2"/>
      </w:numPr>
      <w:spacing w:before="156" w:after="156"/>
      <w:outlineLvl w:val="6"/>
    </w:pPr>
  </w:style>
  <w:style w:type="paragraph" w:styleId="10">
    <w:name w:val="heading 8"/>
    <w:basedOn w:val="1"/>
    <w:next w:val="3"/>
    <w:link w:val="60"/>
    <w:qFormat/>
    <w:uiPriority w:val="0"/>
    <w:pPr>
      <w:keepNext/>
      <w:keepLines/>
      <w:spacing w:before="60" w:after="60"/>
      <w:outlineLvl w:val="7"/>
    </w:pPr>
  </w:style>
  <w:style w:type="paragraph" w:styleId="11">
    <w:name w:val="heading 9"/>
    <w:basedOn w:val="1"/>
    <w:next w:val="3"/>
    <w:link w:val="61"/>
    <w:qFormat/>
    <w:uiPriority w:val="0"/>
    <w:pPr>
      <w:keepNext/>
      <w:keepLines/>
      <w:spacing w:before="60" w:after="60"/>
      <w:outlineLvl w:val="8"/>
    </w:pPr>
  </w:style>
  <w:style w:type="character" w:default="1" w:styleId="47">
    <w:name w:val="Default Paragraph Font"/>
    <w:semiHidden/>
    <w:unhideWhenUsed/>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62"/>
    <w:qFormat/>
    <w:uiPriority w:val="0"/>
    <w:pPr>
      <w:spacing w:before="60" w:after="60"/>
    </w:pPr>
  </w:style>
  <w:style w:type="paragraph" w:styleId="12">
    <w:name w:val="toc 7"/>
    <w:basedOn w:val="1"/>
    <w:next w:val="1"/>
    <w:unhideWhenUsed/>
    <w:qFormat/>
    <w:uiPriority w:val="39"/>
    <w:pPr>
      <w:spacing w:line="240" w:lineRule="auto"/>
      <w:ind w:left="2520" w:leftChars="1200"/>
    </w:pPr>
    <w:rPr>
      <w:rFonts w:asciiTheme="minorHAnsi" w:hAnsiTheme="minorHAnsi" w:eastAsiaTheme="minorEastAsia" w:cstheme="minorBidi"/>
      <w:sz w:val="21"/>
      <w:szCs w:val="22"/>
    </w:rPr>
  </w:style>
  <w:style w:type="paragraph" w:styleId="13">
    <w:name w:val="List Number"/>
    <w:basedOn w:val="1"/>
    <w:qFormat/>
    <w:uiPriority w:val="0"/>
    <w:pPr>
      <w:numPr>
        <w:ilvl w:val="0"/>
        <w:numId w:val="3"/>
      </w:numPr>
      <w:spacing w:line="240" w:lineRule="auto"/>
      <w:ind w:firstLine="0"/>
    </w:pPr>
    <w:rPr>
      <w:sz w:val="21"/>
    </w:rPr>
  </w:style>
  <w:style w:type="paragraph" w:styleId="14">
    <w:name w:val="Normal Indent"/>
    <w:basedOn w:val="1"/>
    <w:link w:val="114"/>
    <w:qFormat/>
    <w:uiPriority w:val="0"/>
  </w:style>
  <w:style w:type="paragraph" w:styleId="15">
    <w:name w:val="caption"/>
    <w:basedOn w:val="1"/>
    <w:next w:val="1"/>
    <w:semiHidden/>
    <w:unhideWhenUsed/>
    <w:qFormat/>
    <w:uiPriority w:val="35"/>
    <w:rPr>
      <w:rFonts w:eastAsia="黑体" w:asciiTheme="majorHAnsi" w:hAnsiTheme="majorHAnsi" w:cstheme="majorBidi"/>
      <w:sz w:val="20"/>
      <w:szCs w:val="20"/>
    </w:rPr>
  </w:style>
  <w:style w:type="paragraph" w:styleId="16">
    <w:name w:val="List Bullet"/>
    <w:basedOn w:val="1"/>
    <w:qFormat/>
    <w:uiPriority w:val="0"/>
    <w:pPr>
      <w:numPr>
        <w:ilvl w:val="0"/>
        <w:numId w:val="4"/>
      </w:numPr>
      <w:spacing w:before="50" w:beforeLines="50" w:after="50" w:afterLines="50"/>
    </w:pPr>
    <w:rPr>
      <w:szCs w:val="21"/>
    </w:rPr>
  </w:style>
  <w:style w:type="paragraph" w:styleId="17">
    <w:name w:val="Document Map"/>
    <w:basedOn w:val="1"/>
    <w:link w:val="64"/>
    <w:semiHidden/>
    <w:qFormat/>
    <w:uiPriority w:val="0"/>
    <w:pPr>
      <w:shd w:val="clear" w:color="auto" w:fill="000080"/>
    </w:pPr>
  </w:style>
  <w:style w:type="paragraph" w:styleId="18">
    <w:name w:val="annotation text"/>
    <w:basedOn w:val="1"/>
    <w:link w:val="106"/>
    <w:unhideWhenUsed/>
    <w:qFormat/>
    <w:uiPriority w:val="99"/>
    <w:pPr>
      <w:jc w:val="left"/>
    </w:pPr>
  </w:style>
  <w:style w:type="paragraph" w:styleId="19">
    <w:name w:val="Body Text 3"/>
    <w:basedOn w:val="1"/>
    <w:link w:val="159"/>
    <w:unhideWhenUsed/>
    <w:qFormat/>
    <w:uiPriority w:val="0"/>
    <w:pPr>
      <w:spacing w:after="120"/>
    </w:pPr>
    <w:rPr>
      <w:sz w:val="16"/>
      <w:szCs w:val="16"/>
    </w:rPr>
  </w:style>
  <w:style w:type="paragraph" w:styleId="20">
    <w:name w:val="Body Text Indent"/>
    <w:basedOn w:val="1"/>
    <w:link w:val="120"/>
    <w:qFormat/>
    <w:uiPriority w:val="99"/>
    <w:pPr>
      <w:spacing w:after="120" w:line="240" w:lineRule="auto"/>
      <w:ind w:left="420" w:leftChars="200"/>
    </w:pPr>
    <w:rPr>
      <w:sz w:val="21"/>
    </w:rPr>
  </w:style>
  <w:style w:type="paragraph" w:styleId="21">
    <w:name w:val="List 2"/>
    <w:basedOn w:val="1"/>
    <w:qFormat/>
    <w:uiPriority w:val="0"/>
    <w:pPr>
      <w:spacing w:line="240" w:lineRule="auto"/>
      <w:ind w:left="100" w:leftChars="200" w:hanging="200" w:hangingChars="200"/>
    </w:pPr>
    <w:rPr>
      <w:sz w:val="28"/>
    </w:rPr>
  </w:style>
  <w:style w:type="paragraph" w:styleId="22">
    <w:name w:val="Block Text"/>
    <w:basedOn w:val="1"/>
    <w:qFormat/>
    <w:uiPriority w:val="0"/>
    <w:pPr>
      <w:spacing w:line="240" w:lineRule="auto"/>
      <w:ind w:left="1200" w:right="-72" w:hanging="30"/>
    </w:pPr>
    <w:rPr>
      <w:rFonts w:ascii="Arial" w:hAnsi="Arial" w:eastAsia="幼圆" w:cs="Arial"/>
      <w:sz w:val="22"/>
      <w:szCs w:val="20"/>
    </w:rPr>
  </w:style>
  <w:style w:type="paragraph" w:styleId="23">
    <w:name w:val="toc 5"/>
    <w:basedOn w:val="1"/>
    <w:next w:val="1"/>
    <w:unhideWhenUsed/>
    <w:qFormat/>
    <w:uiPriority w:val="39"/>
    <w:pPr>
      <w:spacing w:line="240" w:lineRule="auto"/>
      <w:ind w:left="1680" w:leftChars="800"/>
    </w:pPr>
    <w:rPr>
      <w:rFonts w:asciiTheme="minorHAnsi" w:hAnsiTheme="minorHAnsi" w:eastAsiaTheme="minorEastAsia" w:cstheme="minorBidi"/>
      <w:sz w:val="21"/>
      <w:szCs w:val="22"/>
    </w:rPr>
  </w:style>
  <w:style w:type="paragraph" w:styleId="24">
    <w:name w:val="toc 3"/>
    <w:basedOn w:val="1"/>
    <w:next w:val="1"/>
    <w:uiPriority w:val="39"/>
    <w:pPr>
      <w:ind w:left="840" w:leftChars="400"/>
    </w:pPr>
  </w:style>
  <w:style w:type="paragraph" w:styleId="25">
    <w:name w:val="Plain Text"/>
    <w:basedOn w:val="1"/>
    <w:link w:val="118"/>
    <w:qFormat/>
    <w:uiPriority w:val="0"/>
    <w:pPr>
      <w:spacing w:line="240" w:lineRule="auto"/>
    </w:pPr>
    <w:rPr>
      <w:rFonts w:ascii="宋体" w:hAnsi="Courier New" w:cstheme="minorBidi"/>
      <w:sz w:val="21"/>
    </w:rPr>
  </w:style>
  <w:style w:type="paragraph" w:styleId="26">
    <w:name w:val="toc 8"/>
    <w:basedOn w:val="1"/>
    <w:next w:val="1"/>
    <w:unhideWhenUsed/>
    <w:qFormat/>
    <w:uiPriority w:val="39"/>
    <w:pPr>
      <w:spacing w:line="240" w:lineRule="auto"/>
      <w:ind w:left="2940" w:leftChars="1400"/>
    </w:pPr>
    <w:rPr>
      <w:rFonts w:asciiTheme="minorHAnsi" w:hAnsiTheme="minorHAnsi" w:eastAsiaTheme="minorEastAsia" w:cstheme="minorBidi"/>
      <w:sz w:val="21"/>
      <w:szCs w:val="22"/>
    </w:rPr>
  </w:style>
  <w:style w:type="paragraph" w:styleId="27">
    <w:name w:val="Date"/>
    <w:basedOn w:val="1"/>
    <w:next w:val="1"/>
    <w:link w:val="100"/>
    <w:qFormat/>
    <w:uiPriority w:val="0"/>
    <w:pPr>
      <w:spacing w:line="240" w:lineRule="auto"/>
      <w:ind w:left="2500" w:leftChars="2500"/>
    </w:pPr>
    <w:rPr>
      <w:rFonts w:eastAsia="楷体_GB2312" w:asciiTheme="minorHAnsi" w:hAnsiTheme="minorHAnsi" w:cstheme="minorBidi"/>
      <w:sz w:val="32"/>
      <w:szCs w:val="22"/>
    </w:rPr>
  </w:style>
  <w:style w:type="paragraph" w:styleId="28">
    <w:name w:val="Balloon Text"/>
    <w:basedOn w:val="1"/>
    <w:link w:val="98"/>
    <w:qFormat/>
    <w:uiPriority w:val="99"/>
    <w:pPr>
      <w:spacing w:line="240" w:lineRule="auto"/>
    </w:pPr>
    <w:rPr>
      <w:sz w:val="18"/>
      <w:szCs w:val="18"/>
    </w:rPr>
  </w:style>
  <w:style w:type="paragraph" w:styleId="29">
    <w:name w:val="footer"/>
    <w:basedOn w:val="1"/>
    <w:link w:val="73"/>
    <w:qFormat/>
    <w:uiPriority w:val="0"/>
    <w:pPr>
      <w:tabs>
        <w:tab w:val="center" w:pos="4153"/>
        <w:tab w:val="right" w:pos="8306"/>
      </w:tabs>
      <w:snapToGrid w:val="0"/>
      <w:jc w:val="left"/>
    </w:pPr>
    <w:rPr>
      <w:sz w:val="18"/>
      <w:szCs w:val="18"/>
    </w:rPr>
  </w:style>
  <w:style w:type="paragraph" w:styleId="30">
    <w:name w:val="header"/>
    <w:basedOn w:val="1"/>
    <w:link w:val="80"/>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style>
  <w:style w:type="paragraph" w:styleId="32">
    <w:name w:val="toc 4"/>
    <w:basedOn w:val="1"/>
    <w:next w:val="1"/>
    <w:unhideWhenUsed/>
    <w:qFormat/>
    <w:uiPriority w:val="39"/>
    <w:pPr>
      <w:spacing w:line="240" w:lineRule="auto"/>
      <w:ind w:left="1260" w:leftChars="600"/>
    </w:pPr>
    <w:rPr>
      <w:rFonts w:asciiTheme="minorHAnsi" w:hAnsiTheme="minorHAnsi" w:eastAsiaTheme="minorEastAsia" w:cstheme="minorBidi"/>
      <w:sz w:val="21"/>
      <w:szCs w:val="22"/>
    </w:rPr>
  </w:style>
  <w:style w:type="paragraph" w:styleId="33">
    <w:name w:val="index heading"/>
    <w:basedOn w:val="1"/>
    <w:next w:val="34"/>
    <w:qFormat/>
    <w:uiPriority w:val="0"/>
    <w:pPr>
      <w:widowControl/>
      <w:spacing w:line="240" w:lineRule="auto"/>
      <w:jc w:val="left"/>
    </w:pPr>
    <w:rPr>
      <w:rFonts w:ascii="宋体" w:hAnsi="宋体" w:cs="宋体"/>
      <w:kern w:val="0"/>
      <w:szCs w:val="20"/>
    </w:rPr>
  </w:style>
  <w:style w:type="paragraph" w:styleId="34">
    <w:name w:val="index 1"/>
    <w:basedOn w:val="1"/>
    <w:next w:val="14"/>
    <w:qFormat/>
    <w:uiPriority w:val="0"/>
    <w:rPr>
      <w:rFonts w:ascii="Arial" w:hAnsi="Arial"/>
      <w:spacing w:val="-5"/>
      <w:kern w:val="0"/>
      <w:szCs w:val="20"/>
    </w:rPr>
  </w:style>
  <w:style w:type="paragraph" w:styleId="35">
    <w:name w:val="Subtitle"/>
    <w:basedOn w:val="1"/>
    <w:next w:val="1"/>
    <w:link w:val="157"/>
    <w:qFormat/>
    <w:uiPriority w:val="11"/>
    <w:pPr>
      <w:spacing w:before="240" w:after="60" w:line="312" w:lineRule="auto"/>
      <w:jc w:val="left"/>
      <w:outlineLvl w:val="1"/>
    </w:pPr>
    <w:rPr>
      <w:rFonts w:asciiTheme="majorHAnsi" w:hAnsiTheme="majorHAnsi" w:cstheme="majorBidi"/>
      <w:b/>
      <w:bCs/>
      <w:kern w:val="28"/>
      <w:sz w:val="32"/>
      <w:szCs w:val="32"/>
    </w:rPr>
  </w:style>
  <w:style w:type="paragraph" w:styleId="36">
    <w:name w:val="toc 6"/>
    <w:basedOn w:val="1"/>
    <w:next w:val="1"/>
    <w:unhideWhenUsed/>
    <w:qFormat/>
    <w:uiPriority w:val="39"/>
    <w:pPr>
      <w:spacing w:line="240" w:lineRule="auto"/>
      <w:ind w:left="2100" w:leftChars="1000"/>
    </w:pPr>
    <w:rPr>
      <w:rFonts w:asciiTheme="minorHAnsi" w:hAnsiTheme="minorHAnsi" w:eastAsiaTheme="minorEastAsia" w:cstheme="minorBidi"/>
      <w:sz w:val="21"/>
      <w:szCs w:val="22"/>
    </w:rPr>
  </w:style>
  <w:style w:type="paragraph" w:styleId="37">
    <w:name w:val="Body Text Indent 3"/>
    <w:basedOn w:val="1"/>
    <w:link w:val="164"/>
    <w:semiHidden/>
    <w:unhideWhenUsed/>
    <w:qFormat/>
    <w:uiPriority w:val="99"/>
    <w:pPr>
      <w:spacing w:after="120"/>
      <w:ind w:left="420" w:leftChars="200"/>
    </w:pPr>
    <w:rPr>
      <w:sz w:val="16"/>
      <w:szCs w:val="16"/>
    </w:rPr>
  </w:style>
  <w:style w:type="paragraph" w:styleId="38">
    <w:name w:val="toc 2"/>
    <w:basedOn w:val="1"/>
    <w:next w:val="1"/>
    <w:qFormat/>
    <w:uiPriority w:val="39"/>
    <w:pPr>
      <w:ind w:left="420" w:leftChars="200"/>
    </w:pPr>
  </w:style>
  <w:style w:type="paragraph" w:styleId="39">
    <w:name w:val="toc 9"/>
    <w:basedOn w:val="1"/>
    <w:next w:val="1"/>
    <w:unhideWhenUsed/>
    <w:qFormat/>
    <w:uiPriority w:val="39"/>
    <w:pPr>
      <w:spacing w:line="240" w:lineRule="auto"/>
      <w:ind w:left="3360" w:leftChars="1600"/>
    </w:pPr>
    <w:rPr>
      <w:rFonts w:asciiTheme="minorHAnsi" w:hAnsiTheme="minorHAnsi" w:eastAsiaTheme="minorEastAsia" w:cstheme="minorBidi"/>
      <w:sz w:val="21"/>
      <w:szCs w:val="22"/>
    </w:rPr>
  </w:style>
  <w:style w:type="paragraph" w:styleId="40">
    <w:name w:val="Body Text 2"/>
    <w:basedOn w:val="1"/>
    <w:link w:val="116"/>
    <w:semiHidden/>
    <w:unhideWhenUsed/>
    <w:qFormat/>
    <w:uiPriority w:val="99"/>
    <w:pPr>
      <w:spacing w:after="120" w:line="480" w:lineRule="auto"/>
    </w:pPr>
  </w:style>
  <w:style w:type="paragraph" w:styleId="41">
    <w:name w:val="Normal (Web)"/>
    <w:basedOn w:val="1"/>
    <w:qFormat/>
    <w:uiPriority w:val="99"/>
    <w:pPr>
      <w:widowControl/>
      <w:spacing w:before="100" w:beforeAutospacing="1" w:after="100" w:afterAutospacing="1" w:line="240" w:lineRule="auto"/>
      <w:jc w:val="left"/>
    </w:pPr>
    <w:rPr>
      <w:rFonts w:hint="eastAsia" w:ascii="宋体" w:hAnsi="宋体"/>
      <w:kern w:val="0"/>
    </w:rPr>
  </w:style>
  <w:style w:type="paragraph" w:styleId="42">
    <w:name w:val="Title"/>
    <w:basedOn w:val="1"/>
    <w:next w:val="1"/>
    <w:link w:val="95"/>
    <w:qFormat/>
    <w:uiPriority w:val="10"/>
    <w:pPr>
      <w:wordWrap w:val="0"/>
      <w:spacing w:before="240" w:after="60"/>
      <w:jc w:val="center"/>
      <w:outlineLvl w:val="0"/>
    </w:pPr>
    <w:rPr>
      <w:rFonts w:asciiTheme="majorHAnsi" w:hAnsiTheme="majorHAnsi" w:cstheme="majorBidi"/>
      <w:b/>
      <w:bCs/>
      <w:kern w:val="0"/>
      <w:sz w:val="72"/>
      <w:szCs w:val="32"/>
    </w:rPr>
  </w:style>
  <w:style w:type="paragraph" w:styleId="43">
    <w:name w:val="annotation subject"/>
    <w:basedOn w:val="18"/>
    <w:next w:val="18"/>
    <w:link w:val="107"/>
    <w:unhideWhenUsed/>
    <w:qFormat/>
    <w:uiPriority w:val="99"/>
    <w:rPr>
      <w:b/>
      <w:bCs/>
    </w:rPr>
  </w:style>
  <w:style w:type="paragraph" w:styleId="44">
    <w:name w:val="Body Text First Indent"/>
    <w:basedOn w:val="3"/>
    <w:link w:val="186"/>
    <w:semiHidden/>
    <w:unhideWhenUsed/>
    <w:qFormat/>
    <w:uiPriority w:val="99"/>
    <w:pPr>
      <w:widowControl/>
      <w:spacing w:before="0" w:after="120" w:line="240" w:lineRule="auto"/>
      <w:ind w:firstLine="420" w:firstLineChars="100"/>
      <w:jc w:val="left"/>
    </w:pPr>
    <w:rPr>
      <w:rFonts w:ascii="宋体" w:hAnsi="宋体" w:cs="宋体"/>
      <w:kern w:val="0"/>
    </w:rPr>
  </w:style>
  <w:style w:type="table" w:styleId="46">
    <w:name w:val="Table Grid"/>
    <w:basedOn w:val="4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page number"/>
    <w:basedOn w:val="47"/>
    <w:qFormat/>
    <w:uiPriority w:val="0"/>
  </w:style>
  <w:style w:type="character" w:styleId="49">
    <w:name w:val="FollowedHyperlink"/>
    <w:qFormat/>
    <w:uiPriority w:val="0"/>
    <w:rPr>
      <w:color w:val="800080"/>
      <w:u w:val="single"/>
    </w:rPr>
  </w:style>
  <w:style w:type="character" w:styleId="50">
    <w:name w:val="Hyperlink"/>
    <w:unhideWhenUsed/>
    <w:uiPriority w:val="99"/>
    <w:rPr>
      <w:color w:val="0563C1"/>
      <w:u w:val="single"/>
    </w:rPr>
  </w:style>
  <w:style w:type="character" w:styleId="51">
    <w:name w:val="annotation reference"/>
    <w:basedOn w:val="47"/>
    <w:unhideWhenUsed/>
    <w:qFormat/>
    <w:uiPriority w:val="99"/>
    <w:rPr>
      <w:sz w:val="21"/>
      <w:szCs w:val="21"/>
    </w:rPr>
  </w:style>
  <w:style w:type="character" w:styleId="52">
    <w:name w:val="HTML Sample"/>
    <w:qFormat/>
    <w:uiPriority w:val="0"/>
    <w:rPr>
      <w:rFonts w:ascii="Courier New" w:hAnsi="Courier New" w:eastAsia="Courier New" w:cs="Courier New"/>
      <w:sz w:val="16"/>
      <w:szCs w:val="0"/>
    </w:rPr>
  </w:style>
  <w:style w:type="character" w:customStyle="1" w:styleId="53">
    <w:name w:val="标题 1 字符"/>
    <w:basedOn w:val="47"/>
    <w:link w:val="2"/>
    <w:qFormat/>
    <w:uiPriority w:val="0"/>
    <w:rPr>
      <w:rFonts w:ascii="Times New Roman" w:hAnsi="Times New Roman" w:eastAsia="黑体" w:cs="Times New Roman"/>
      <w:b/>
      <w:bCs/>
      <w:kern w:val="44"/>
      <w:sz w:val="44"/>
      <w:szCs w:val="44"/>
    </w:rPr>
  </w:style>
  <w:style w:type="character" w:customStyle="1" w:styleId="54">
    <w:name w:val="标题 2 字符"/>
    <w:basedOn w:val="47"/>
    <w:link w:val="4"/>
    <w:qFormat/>
    <w:uiPriority w:val="0"/>
    <w:rPr>
      <w:rFonts w:ascii="Times New Roman" w:hAnsi="Times New Roman" w:eastAsia="黑体" w:cs="Times New Roman"/>
      <w:b/>
      <w:bCs/>
      <w:sz w:val="36"/>
      <w:szCs w:val="36"/>
    </w:rPr>
  </w:style>
  <w:style w:type="character" w:customStyle="1" w:styleId="55">
    <w:name w:val="标题 3 字符"/>
    <w:basedOn w:val="47"/>
    <w:link w:val="5"/>
    <w:qFormat/>
    <w:uiPriority w:val="0"/>
    <w:rPr>
      <w:rFonts w:ascii="Times New Roman" w:hAnsi="Times New Roman" w:eastAsia="黑体" w:cs="Times New Roman"/>
      <w:b/>
      <w:bCs/>
      <w:sz w:val="32"/>
      <w:szCs w:val="32"/>
    </w:rPr>
  </w:style>
  <w:style w:type="character" w:customStyle="1" w:styleId="56">
    <w:name w:val="标题 4 字符"/>
    <w:basedOn w:val="47"/>
    <w:link w:val="6"/>
    <w:qFormat/>
    <w:uiPriority w:val="0"/>
    <w:rPr>
      <w:rFonts w:ascii="Times New Roman" w:hAnsi="Times New Roman" w:eastAsia="黑体" w:cs="Times New Roman"/>
      <w:b/>
      <w:bCs/>
      <w:sz w:val="30"/>
      <w:szCs w:val="30"/>
    </w:rPr>
  </w:style>
  <w:style w:type="character" w:customStyle="1" w:styleId="57">
    <w:name w:val="标题 5 字符"/>
    <w:basedOn w:val="47"/>
    <w:link w:val="7"/>
    <w:uiPriority w:val="0"/>
    <w:rPr>
      <w:rFonts w:ascii="Times New Roman" w:hAnsi="Times New Roman" w:eastAsia="黑体" w:cs="Times New Roman"/>
      <w:b/>
      <w:bCs/>
      <w:sz w:val="28"/>
      <w:szCs w:val="28"/>
    </w:rPr>
  </w:style>
  <w:style w:type="character" w:customStyle="1" w:styleId="58">
    <w:name w:val="标题 6 字符"/>
    <w:basedOn w:val="47"/>
    <w:link w:val="8"/>
    <w:qFormat/>
    <w:uiPriority w:val="0"/>
    <w:rPr>
      <w:rFonts w:ascii="Times New Roman" w:hAnsi="Times New Roman" w:eastAsia="黑体" w:cs="Times New Roman"/>
      <w:b/>
      <w:bCs/>
      <w:sz w:val="24"/>
      <w:szCs w:val="24"/>
    </w:rPr>
  </w:style>
  <w:style w:type="character" w:customStyle="1" w:styleId="59">
    <w:name w:val="标题 7 字符"/>
    <w:basedOn w:val="47"/>
    <w:link w:val="9"/>
    <w:qFormat/>
    <w:uiPriority w:val="0"/>
    <w:rPr>
      <w:rFonts w:ascii="Times New Roman" w:hAnsi="Times New Roman" w:eastAsia="宋体" w:cs="Times New Roman"/>
      <w:sz w:val="24"/>
      <w:szCs w:val="24"/>
    </w:rPr>
  </w:style>
  <w:style w:type="character" w:customStyle="1" w:styleId="60">
    <w:name w:val="标题 8 字符"/>
    <w:basedOn w:val="47"/>
    <w:link w:val="10"/>
    <w:uiPriority w:val="0"/>
    <w:rPr>
      <w:rFonts w:ascii="Times New Roman" w:hAnsi="Times New Roman" w:eastAsia="宋体" w:cs="Times New Roman"/>
      <w:sz w:val="24"/>
      <w:szCs w:val="24"/>
    </w:rPr>
  </w:style>
  <w:style w:type="character" w:customStyle="1" w:styleId="61">
    <w:name w:val="标题 9 字符"/>
    <w:basedOn w:val="47"/>
    <w:link w:val="11"/>
    <w:qFormat/>
    <w:uiPriority w:val="0"/>
    <w:rPr>
      <w:rFonts w:ascii="Times New Roman" w:hAnsi="Times New Roman" w:eastAsia="宋体" w:cs="Times New Roman"/>
      <w:sz w:val="24"/>
      <w:szCs w:val="24"/>
    </w:rPr>
  </w:style>
  <w:style w:type="character" w:customStyle="1" w:styleId="62">
    <w:name w:val="正文文本 字符"/>
    <w:basedOn w:val="47"/>
    <w:link w:val="3"/>
    <w:qFormat/>
    <w:uiPriority w:val="0"/>
    <w:rPr>
      <w:rFonts w:ascii="Times New Roman" w:hAnsi="Times New Roman" w:eastAsia="宋体" w:cs="Times New Roman"/>
      <w:sz w:val="24"/>
      <w:szCs w:val="24"/>
    </w:rPr>
  </w:style>
  <w:style w:type="paragraph" w:customStyle="1" w:styleId="63">
    <w:name w:val="说明"/>
    <w:basedOn w:val="1"/>
    <w:qFormat/>
    <w:uiPriority w:val="0"/>
    <w:pPr>
      <w:spacing w:before="60" w:after="60"/>
    </w:pPr>
    <w:rPr>
      <w:rFonts w:eastAsia="楷体_GB2312"/>
    </w:rPr>
  </w:style>
  <w:style w:type="character" w:customStyle="1" w:styleId="64">
    <w:name w:val="文档结构图 字符"/>
    <w:basedOn w:val="47"/>
    <w:link w:val="17"/>
    <w:semiHidden/>
    <w:qFormat/>
    <w:uiPriority w:val="0"/>
    <w:rPr>
      <w:rFonts w:ascii="Times New Roman" w:hAnsi="Times New Roman" w:eastAsia="宋体" w:cs="Times New Roman"/>
      <w:sz w:val="24"/>
      <w:szCs w:val="24"/>
      <w:shd w:val="clear" w:color="auto" w:fill="000080"/>
    </w:rPr>
  </w:style>
  <w:style w:type="paragraph" w:customStyle="1" w:styleId="65">
    <w:name w:val="正文6"/>
    <w:basedOn w:val="1"/>
    <w:qFormat/>
    <w:uiPriority w:val="0"/>
    <w:pPr>
      <w:numPr>
        <w:ilvl w:val="0"/>
        <w:numId w:val="5"/>
      </w:numPr>
      <w:tabs>
        <w:tab w:val="left" w:pos="900"/>
        <w:tab w:val="clear" w:pos="720"/>
      </w:tabs>
      <w:spacing w:before="156" w:after="156"/>
      <w:ind w:left="1290" w:leftChars="500" w:hanging="240" w:hangingChars="100"/>
    </w:pPr>
  </w:style>
  <w:style w:type="paragraph" w:customStyle="1" w:styleId="66">
    <w:name w:val="正文7"/>
    <w:basedOn w:val="65"/>
    <w:qFormat/>
    <w:uiPriority w:val="0"/>
    <w:pPr>
      <w:numPr>
        <w:numId w:val="6"/>
      </w:numPr>
      <w:tabs>
        <w:tab w:val="left" w:pos="840"/>
      </w:tabs>
      <w:ind w:left="1500" w:leftChars="600" w:hanging="240"/>
    </w:pPr>
  </w:style>
  <w:style w:type="paragraph" w:customStyle="1" w:styleId="67">
    <w:name w:val="样式 正文7 + 段前: 0.5 行 段后: 0.5 行"/>
    <w:basedOn w:val="66"/>
    <w:qFormat/>
    <w:uiPriority w:val="0"/>
    <w:pPr>
      <w:numPr>
        <w:numId w:val="0"/>
      </w:numPr>
    </w:pPr>
    <w:rPr>
      <w:rFonts w:cs="宋体"/>
    </w:rPr>
  </w:style>
  <w:style w:type="paragraph" w:customStyle="1" w:styleId="68">
    <w:name w:val="样式 正文文本 + 首行缩进:  2 字符"/>
    <w:basedOn w:val="3"/>
    <w:qFormat/>
    <w:uiPriority w:val="0"/>
    <w:pPr>
      <w:spacing w:before="50" w:after="50"/>
    </w:pPr>
    <w:rPr>
      <w:rFonts w:cs="宋体"/>
    </w:rPr>
  </w:style>
  <w:style w:type="paragraph" w:customStyle="1" w:styleId="69">
    <w:name w:val="正文字缩1字"/>
    <w:basedOn w:val="1"/>
    <w:uiPriority w:val="0"/>
    <w:pPr>
      <w:spacing w:before="60" w:after="60"/>
      <w:ind w:left="100" w:leftChars="100"/>
    </w:pPr>
  </w:style>
  <w:style w:type="paragraph" w:customStyle="1" w:styleId="70">
    <w:name w:val="样式 正文字缩1字 + 左侧:  1 字符 首行缩进:  2 字符"/>
    <w:basedOn w:val="69"/>
    <w:qFormat/>
    <w:uiPriority w:val="0"/>
    <w:pPr>
      <w:spacing w:before="50" w:after="50"/>
    </w:pPr>
    <w:rPr>
      <w:rFonts w:cs="宋体"/>
    </w:rPr>
  </w:style>
  <w:style w:type="paragraph" w:customStyle="1" w:styleId="71">
    <w:name w:val="正文字缩2字"/>
    <w:basedOn w:val="69"/>
    <w:qFormat/>
    <w:uiPriority w:val="0"/>
    <w:pPr>
      <w:ind w:left="200" w:leftChars="200"/>
    </w:pPr>
  </w:style>
  <w:style w:type="paragraph" w:customStyle="1" w:styleId="72">
    <w:name w:val="样式 正文字缩2字 + 左侧:  2 字符 首行缩进:  2 字符"/>
    <w:basedOn w:val="71"/>
    <w:uiPriority w:val="0"/>
    <w:pPr>
      <w:spacing w:before="50" w:after="50"/>
    </w:pPr>
    <w:rPr>
      <w:rFonts w:cs="宋体"/>
    </w:rPr>
  </w:style>
  <w:style w:type="character" w:customStyle="1" w:styleId="73">
    <w:name w:val="页脚 字符"/>
    <w:link w:val="29"/>
    <w:qFormat/>
    <w:uiPriority w:val="0"/>
    <w:rPr>
      <w:rFonts w:ascii="Times New Roman" w:hAnsi="Times New Roman" w:eastAsia="宋体" w:cs="Times New Roman"/>
      <w:sz w:val="18"/>
      <w:szCs w:val="18"/>
    </w:rPr>
  </w:style>
  <w:style w:type="paragraph" w:customStyle="1" w:styleId="74">
    <w:name w:val="正文1"/>
    <w:basedOn w:val="1"/>
    <w:qFormat/>
    <w:uiPriority w:val="0"/>
    <w:pPr>
      <w:numPr>
        <w:ilvl w:val="6"/>
        <w:numId w:val="1"/>
      </w:numPr>
      <w:spacing w:before="156" w:after="156"/>
      <w:ind w:left="450" w:leftChars="100" w:hanging="240" w:hangingChars="100"/>
    </w:pPr>
  </w:style>
  <w:style w:type="paragraph" w:customStyle="1" w:styleId="75">
    <w:name w:val="正文2"/>
    <w:basedOn w:val="1"/>
    <w:link w:val="167"/>
    <w:uiPriority w:val="0"/>
    <w:pPr>
      <w:numPr>
        <w:ilvl w:val="7"/>
        <w:numId w:val="1"/>
      </w:numPr>
      <w:ind w:left="250" w:leftChars="150" w:hanging="100" w:hangingChars="100"/>
    </w:pPr>
  </w:style>
  <w:style w:type="paragraph" w:customStyle="1" w:styleId="76">
    <w:name w:val="正文3"/>
    <w:basedOn w:val="1"/>
    <w:qFormat/>
    <w:uiPriority w:val="0"/>
    <w:pPr>
      <w:numPr>
        <w:ilvl w:val="8"/>
        <w:numId w:val="1"/>
      </w:numPr>
      <w:ind w:left="300" w:leftChars="200" w:hanging="100" w:hangingChars="100"/>
    </w:pPr>
  </w:style>
  <w:style w:type="paragraph" w:customStyle="1" w:styleId="77">
    <w:name w:val="正文4"/>
    <w:basedOn w:val="1"/>
    <w:uiPriority w:val="0"/>
    <w:pPr>
      <w:numPr>
        <w:ilvl w:val="0"/>
        <w:numId w:val="7"/>
      </w:numPr>
      <w:ind w:left="400" w:leftChars="300" w:hanging="100" w:hangingChars="100"/>
    </w:pPr>
  </w:style>
  <w:style w:type="paragraph" w:customStyle="1" w:styleId="78">
    <w:name w:val="正文5"/>
    <w:basedOn w:val="1"/>
    <w:qFormat/>
    <w:uiPriority w:val="0"/>
    <w:pPr>
      <w:numPr>
        <w:ilvl w:val="0"/>
        <w:numId w:val="8"/>
      </w:numPr>
      <w:tabs>
        <w:tab w:val="clear" w:pos="620"/>
      </w:tabs>
      <w:ind w:left="500" w:leftChars="400" w:hanging="100" w:hangingChars="100"/>
    </w:pPr>
  </w:style>
  <w:style w:type="paragraph" w:customStyle="1" w:styleId="79">
    <w:name w:val="注意事项"/>
    <w:basedOn w:val="1"/>
    <w:uiPriority w:val="0"/>
    <w:pPr>
      <w:spacing w:before="60" w:after="60"/>
    </w:pPr>
    <w:rPr>
      <w:b/>
      <w:bCs/>
    </w:rPr>
  </w:style>
  <w:style w:type="character" w:customStyle="1" w:styleId="80">
    <w:name w:val="页眉 字符"/>
    <w:basedOn w:val="47"/>
    <w:link w:val="30"/>
    <w:qFormat/>
    <w:uiPriority w:val="0"/>
    <w:rPr>
      <w:rFonts w:ascii="Times New Roman" w:hAnsi="Times New Roman" w:eastAsia="宋体" w:cs="Times New Roman"/>
      <w:sz w:val="18"/>
      <w:szCs w:val="18"/>
    </w:rPr>
  </w:style>
  <w:style w:type="paragraph" w:customStyle="1" w:styleId="81">
    <w:name w:val="文章标题"/>
    <w:basedOn w:val="3"/>
    <w:qFormat/>
    <w:uiPriority w:val="0"/>
    <w:pPr>
      <w:widowControl/>
      <w:spacing w:before="312" w:beforeLines="100" w:after="312" w:afterLines="100" w:line="480" w:lineRule="auto"/>
      <w:jc w:val="center"/>
    </w:pPr>
    <w:rPr>
      <w:b/>
      <w:sz w:val="44"/>
      <w:szCs w:val="44"/>
    </w:rPr>
  </w:style>
  <w:style w:type="paragraph" w:customStyle="1" w:styleId="82">
    <w:name w:val="样式3"/>
    <w:basedOn w:val="3"/>
    <w:link w:val="83"/>
    <w:qFormat/>
    <w:uiPriority w:val="0"/>
    <w:pPr>
      <w:spacing w:before="156" w:after="156"/>
    </w:pPr>
  </w:style>
  <w:style w:type="character" w:customStyle="1" w:styleId="83">
    <w:name w:val="样式3 Char"/>
    <w:link w:val="82"/>
    <w:qFormat/>
    <w:uiPriority w:val="0"/>
    <w:rPr>
      <w:rFonts w:ascii="Times New Roman" w:hAnsi="Times New Roman" w:eastAsia="宋体" w:cs="Times New Roman"/>
      <w:sz w:val="24"/>
      <w:szCs w:val="24"/>
    </w:rPr>
  </w:style>
  <w:style w:type="paragraph" w:customStyle="1" w:styleId="84">
    <w:name w:val="样式 首行缩进:  0 字符"/>
    <w:basedOn w:val="1"/>
    <w:qFormat/>
    <w:uiPriority w:val="0"/>
    <w:rPr>
      <w:rFonts w:ascii="Arial" w:hAnsi="Arial" w:eastAsia="微软雅黑" w:cs="宋体"/>
      <w:szCs w:val="20"/>
    </w:rPr>
  </w:style>
  <w:style w:type="paragraph" w:customStyle="1" w:styleId="85">
    <w:name w:val="项目编号1"/>
    <w:basedOn w:val="1"/>
    <w:link w:val="87"/>
    <w:qFormat/>
    <w:uiPriority w:val="0"/>
    <w:pPr>
      <w:numPr>
        <w:ilvl w:val="0"/>
        <w:numId w:val="9"/>
      </w:numPr>
      <w:ind w:left="0" w:firstLine="0"/>
    </w:pPr>
  </w:style>
  <w:style w:type="paragraph" w:customStyle="1" w:styleId="86">
    <w:name w:val="项目编号2"/>
    <w:basedOn w:val="85"/>
    <w:link w:val="89"/>
    <w:qFormat/>
    <w:uiPriority w:val="0"/>
    <w:pPr>
      <w:numPr>
        <w:numId w:val="10"/>
      </w:numPr>
      <w:ind w:left="0" w:firstLine="0"/>
    </w:pPr>
  </w:style>
  <w:style w:type="character" w:customStyle="1" w:styleId="87">
    <w:name w:val="项目编号1 Char"/>
    <w:link w:val="85"/>
    <w:qFormat/>
    <w:uiPriority w:val="0"/>
    <w:rPr>
      <w:rFonts w:ascii="Times New Roman" w:hAnsi="Times New Roman" w:eastAsia="宋体" w:cs="Times New Roman"/>
      <w:sz w:val="24"/>
      <w:szCs w:val="24"/>
    </w:rPr>
  </w:style>
  <w:style w:type="paragraph" w:customStyle="1" w:styleId="88">
    <w:name w:val="表格样式"/>
    <w:basedOn w:val="1"/>
    <w:link w:val="91"/>
    <w:qFormat/>
    <w:uiPriority w:val="0"/>
    <w:pPr>
      <w:jc w:val="left"/>
    </w:pPr>
    <w:rPr>
      <w:sz w:val="18"/>
    </w:rPr>
  </w:style>
  <w:style w:type="character" w:customStyle="1" w:styleId="89">
    <w:name w:val="项目编号2 Char"/>
    <w:basedOn w:val="87"/>
    <w:link w:val="86"/>
    <w:qFormat/>
    <w:uiPriority w:val="0"/>
    <w:rPr>
      <w:rFonts w:ascii="Times New Roman" w:hAnsi="Times New Roman" w:eastAsia="宋体" w:cs="Times New Roman"/>
      <w:sz w:val="24"/>
      <w:szCs w:val="24"/>
    </w:rPr>
  </w:style>
  <w:style w:type="paragraph" w:customStyle="1" w:styleId="90">
    <w:name w:val="项目编号3"/>
    <w:basedOn w:val="85"/>
    <w:link w:val="92"/>
    <w:qFormat/>
    <w:uiPriority w:val="0"/>
    <w:pPr>
      <w:numPr>
        <w:numId w:val="11"/>
      </w:numPr>
    </w:pPr>
  </w:style>
  <w:style w:type="character" w:customStyle="1" w:styleId="91">
    <w:name w:val="表格样式 Char"/>
    <w:link w:val="88"/>
    <w:qFormat/>
    <w:uiPriority w:val="0"/>
    <w:rPr>
      <w:rFonts w:ascii="Times New Roman" w:hAnsi="Times New Roman" w:eastAsia="宋体" w:cs="Times New Roman"/>
      <w:sz w:val="18"/>
      <w:szCs w:val="24"/>
    </w:rPr>
  </w:style>
  <w:style w:type="character" w:customStyle="1" w:styleId="92">
    <w:name w:val="项目编号3 Char"/>
    <w:basedOn w:val="87"/>
    <w:link w:val="90"/>
    <w:qFormat/>
    <w:uiPriority w:val="0"/>
    <w:rPr>
      <w:rFonts w:ascii="Times New Roman" w:hAnsi="Times New Roman" w:eastAsia="宋体" w:cs="Times New Roman"/>
      <w:sz w:val="24"/>
      <w:szCs w:val="24"/>
    </w:rPr>
  </w:style>
  <w:style w:type="paragraph" w:customStyle="1" w:styleId="93">
    <w:name w:val="L_正文"/>
    <w:basedOn w:val="1"/>
    <w:link w:val="94"/>
    <w:qFormat/>
    <w:uiPriority w:val="0"/>
    <w:pPr>
      <w:wordWrap w:val="0"/>
      <w:jc w:val="left"/>
    </w:pPr>
    <w:rPr>
      <w:rFonts w:ascii="宋体" w:hAnsi="宋体"/>
      <w:kern w:val="0"/>
      <w:szCs w:val="21"/>
      <w:lang w:val="zh-CN" w:eastAsia="zh-CN"/>
    </w:rPr>
  </w:style>
  <w:style w:type="character" w:customStyle="1" w:styleId="94">
    <w:name w:val="L_正文 Char"/>
    <w:link w:val="93"/>
    <w:uiPriority w:val="0"/>
    <w:rPr>
      <w:rFonts w:ascii="宋体" w:hAnsi="宋体" w:eastAsia="宋体" w:cs="Times New Roman"/>
      <w:kern w:val="0"/>
      <w:sz w:val="24"/>
      <w:szCs w:val="21"/>
      <w:lang w:val="zh-CN" w:eastAsia="zh-CN"/>
    </w:rPr>
  </w:style>
  <w:style w:type="character" w:customStyle="1" w:styleId="95">
    <w:name w:val="标题 字符"/>
    <w:basedOn w:val="47"/>
    <w:link w:val="42"/>
    <w:qFormat/>
    <w:uiPriority w:val="10"/>
    <w:rPr>
      <w:rFonts w:eastAsia="宋体" w:asciiTheme="majorHAnsi" w:hAnsiTheme="majorHAnsi" w:cstheme="majorBidi"/>
      <w:b/>
      <w:bCs/>
      <w:kern w:val="0"/>
      <w:sz w:val="72"/>
      <w:szCs w:val="32"/>
    </w:rPr>
  </w:style>
  <w:style w:type="paragraph" w:styleId="96">
    <w:name w:val="No Spacing"/>
    <w:qFormat/>
    <w:uiPriority w:val="1"/>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97">
    <w:name w:val="TOC Heading"/>
    <w:basedOn w:val="2"/>
    <w:next w:val="1"/>
    <w:unhideWhenUsed/>
    <w:qFormat/>
    <w:uiPriority w:val="39"/>
    <w:pPr>
      <w:keepNext/>
      <w:keepLines/>
      <w:widowControl/>
      <w:spacing w:before="240" w:beforeLines="0" w:after="0" w:afterLines="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98">
    <w:name w:val="批注框文本 字符"/>
    <w:basedOn w:val="47"/>
    <w:link w:val="28"/>
    <w:qFormat/>
    <w:uiPriority w:val="99"/>
    <w:rPr>
      <w:rFonts w:ascii="Times New Roman" w:hAnsi="Times New Roman" w:eastAsia="宋体" w:cs="Times New Roman"/>
      <w:sz w:val="18"/>
      <w:szCs w:val="18"/>
    </w:rPr>
  </w:style>
  <w:style w:type="paragraph" w:customStyle="1" w:styleId="99">
    <w:name w:val="reader-word-layer"/>
    <w:basedOn w:val="1"/>
    <w:qFormat/>
    <w:uiPriority w:val="0"/>
    <w:pPr>
      <w:widowControl/>
      <w:spacing w:before="100" w:beforeAutospacing="1" w:after="100" w:afterAutospacing="1" w:line="240" w:lineRule="auto"/>
      <w:jc w:val="left"/>
    </w:pPr>
    <w:rPr>
      <w:rFonts w:ascii="宋体" w:hAnsi="宋体" w:cs="宋体"/>
      <w:kern w:val="0"/>
    </w:rPr>
  </w:style>
  <w:style w:type="character" w:customStyle="1" w:styleId="100">
    <w:name w:val="日期 字符"/>
    <w:basedOn w:val="47"/>
    <w:link w:val="27"/>
    <w:uiPriority w:val="0"/>
    <w:rPr>
      <w:rFonts w:eastAsia="楷体_GB2312"/>
      <w:sz w:val="32"/>
    </w:rPr>
  </w:style>
  <w:style w:type="paragraph" w:customStyle="1" w:styleId="101">
    <w:name w:val="正文_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2">
    <w:name w:val="正文_14"/>
    <w:qFormat/>
    <w:uiPriority w:val="0"/>
    <w:rPr>
      <w:rFonts w:ascii="Times New Roman" w:hAnsi="Times New Roman" w:eastAsia="宋体" w:cs="Times New Roman"/>
      <w:kern w:val="0"/>
      <w:sz w:val="21"/>
      <w:szCs w:val="22"/>
      <w:lang w:val="en-US" w:eastAsia="zh-CN" w:bidi="ar-SA"/>
    </w:rPr>
  </w:style>
  <w:style w:type="paragraph" w:customStyle="1" w:styleId="103">
    <w:name w:val="正文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4">
    <w:name w:val="正文_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5">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6">
    <w:name w:val="批注文字 字符"/>
    <w:basedOn w:val="47"/>
    <w:link w:val="18"/>
    <w:qFormat/>
    <w:uiPriority w:val="99"/>
    <w:rPr>
      <w:rFonts w:ascii="Times New Roman" w:hAnsi="Times New Roman" w:eastAsia="宋体" w:cs="Times New Roman"/>
      <w:sz w:val="24"/>
      <w:szCs w:val="24"/>
    </w:rPr>
  </w:style>
  <w:style w:type="character" w:customStyle="1" w:styleId="107">
    <w:name w:val="批注主题 字符"/>
    <w:basedOn w:val="106"/>
    <w:link w:val="43"/>
    <w:qFormat/>
    <w:uiPriority w:val="99"/>
    <w:rPr>
      <w:rFonts w:ascii="Times New Roman" w:hAnsi="Times New Roman" w:eastAsia="宋体" w:cs="Times New Roman"/>
      <w:b/>
      <w:bCs/>
      <w:sz w:val="24"/>
      <w:szCs w:val="24"/>
    </w:rPr>
  </w:style>
  <w:style w:type="paragraph" w:customStyle="1" w:styleId="108">
    <w:name w:val="表格格式"/>
    <w:basedOn w:val="1"/>
    <w:link w:val="109"/>
    <w:qFormat/>
    <w:uiPriority w:val="0"/>
    <w:pPr>
      <w:autoSpaceDN w:val="0"/>
      <w:adjustRightInd w:val="0"/>
      <w:snapToGrid w:val="0"/>
      <w:spacing w:line="240" w:lineRule="auto"/>
      <w:jc w:val="left"/>
    </w:pPr>
    <w:rPr>
      <w:rFonts w:ascii="宋体" w:hAnsi="宋体"/>
      <w:kern w:val="0"/>
    </w:rPr>
  </w:style>
  <w:style w:type="character" w:customStyle="1" w:styleId="109">
    <w:name w:val="表格格式 Char"/>
    <w:link w:val="108"/>
    <w:qFormat/>
    <w:uiPriority w:val="0"/>
    <w:rPr>
      <w:rFonts w:ascii="宋体" w:hAnsi="宋体" w:eastAsia="宋体" w:cs="Times New Roman"/>
      <w:kern w:val="0"/>
      <w:sz w:val="24"/>
      <w:szCs w:val="24"/>
    </w:rPr>
  </w:style>
  <w:style w:type="paragraph" w:styleId="110">
    <w:name w:val="List Paragraph"/>
    <w:basedOn w:val="1"/>
    <w:link w:val="111"/>
    <w:qFormat/>
    <w:uiPriority w:val="34"/>
    <w:pPr>
      <w:ind w:left="150" w:leftChars="150"/>
    </w:pPr>
    <w:rPr>
      <w:rFonts w:ascii="Calibri" w:hAnsi="Calibri"/>
      <w:szCs w:val="22"/>
    </w:rPr>
  </w:style>
  <w:style w:type="character" w:customStyle="1" w:styleId="111">
    <w:name w:val="列表段落 字符"/>
    <w:basedOn w:val="47"/>
    <w:link w:val="110"/>
    <w:qFormat/>
    <w:uiPriority w:val="34"/>
    <w:rPr>
      <w:rFonts w:ascii="Calibri" w:hAnsi="Calibri" w:eastAsia="宋体" w:cs="Times New Roman"/>
      <w:sz w:val="24"/>
    </w:rPr>
  </w:style>
  <w:style w:type="paragraph" w:customStyle="1" w:styleId="112">
    <w:name w:val="正文格式"/>
    <w:basedOn w:val="1"/>
    <w:link w:val="113"/>
    <w:qFormat/>
    <w:uiPriority w:val="0"/>
    <w:rPr>
      <w:rFonts w:ascii="宋体" w:hAnsi="宋体"/>
      <w:kern w:val="0"/>
      <w:lang w:val="en-GB"/>
    </w:rPr>
  </w:style>
  <w:style w:type="character" w:customStyle="1" w:styleId="113">
    <w:name w:val="正文格式 Char"/>
    <w:link w:val="112"/>
    <w:qFormat/>
    <w:uiPriority w:val="0"/>
    <w:rPr>
      <w:rFonts w:ascii="宋体" w:hAnsi="宋体" w:eastAsia="宋体" w:cs="Times New Roman"/>
      <w:kern w:val="0"/>
      <w:sz w:val="24"/>
      <w:szCs w:val="24"/>
      <w:lang w:val="en-GB"/>
    </w:rPr>
  </w:style>
  <w:style w:type="character" w:customStyle="1" w:styleId="114">
    <w:name w:val="正文缩进 字符"/>
    <w:link w:val="14"/>
    <w:qFormat/>
    <w:uiPriority w:val="0"/>
    <w:rPr>
      <w:rFonts w:ascii="Times New Roman" w:hAnsi="Times New Roman" w:eastAsia="宋体" w:cs="Times New Roman"/>
      <w:sz w:val="24"/>
      <w:szCs w:val="24"/>
    </w:rPr>
  </w:style>
  <w:style w:type="paragraph" w:customStyle="1" w:styleId="115">
    <w:name w:val="_Style 2"/>
    <w:basedOn w:val="1"/>
    <w:qFormat/>
    <w:uiPriority w:val="99"/>
    <w:pPr>
      <w:adjustRightInd w:val="0"/>
      <w:snapToGrid w:val="0"/>
      <w:spacing w:line="240" w:lineRule="auto"/>
    </w:pPr>
    <w:rPr>
      <w:rFonts w:ascii="Tahoma" w:hAnsi="Tahoma" w:eastAsia="微软雅黑" w:cs="Tahoma"/>
      <w:sz w:val="22"/>
      <w:szCs w:val="22"/>
    </w:rPr>
  </w:style>
  <w:style w:type="character" w:customStyle="1" w:styleId="116">
    <w:name w:val="正文文本 2 字符"/>
    <w:basedOn w:val="47"/>
    <w:link w:val="40"/>
    <w:semiHidden/>
    <w:qFormat/>
    <w:uiPriority w:val="99"/>
    <w:rPr>
      <w:rFonts w:ascii="Times New Roman" w:hAnsi="Times New Roman" w:eastAsia="宋体" w:cs="Times New Roman"/>
      <w:sz w:val="24"/>
      <w:szCs w:val="24"/>
    </w:rPr>
  </w:style>
  <w:style w:type="paragraph" w:customStyle="1" w:styleId="117">
    <w:name w:val="Revision"/>
    <w:hidden/>
    <w:semiHidden/>
    <w:qFormat/>
    <w:uiPriority w:val="99"/>
    <w:rPr>
      <w:rFonts w:ascii="Times New Roman" w:hAnsi="Times New Roman" w:eastAsia="宋体" w:cs="Times New Roman"/>
      <w:kern w:val="2"/>
      <w:sz w:val="24"/>
      <w:szCs w:val="24"/>
      <w:lang w:val="en-US" w:eastAsia="zh-CN" w:bidi="ar-SA"/>
    </w:rPr>
  </w:style>
  <w:style w:type="character" w:customStyle="1" w:styleId="118">
    <w:name w:val="纯文本 字符"/>
    <w:basedOn w:val="47"/>
    <w:link w:val="25"/>
    <w:qFormat/>
    <w:uiPriority w:val="0"/>
    <w:rPr>
      <w:rFonts w:ascii="宋体" w:hAnsi="Courier New" w:eastAsia="宋体"/>
      <w:szCs w:val="24"/>
    </w:rPr>
  </w:style>
  <w:style w:type="paragraph" w:customStyle="1" w:styleId="119">
    <w:name w:val="_Style 3"/>
    <w:qFormat/>
    <w:uiPriority w:val="1"/>
    <w:pPr>
      <w:widowControl w:val="0"/>
      <w:jc w:val="both"/>
    </w:pPr>
    <w:rPr>
      <w:rFonts w:ascii="Calibri" w:hAnsi="Calibri" w:eastAsia="宋体" w:cs="Times New Roman"/>
      <w:kern w:val="2"/>
      <w:sz w:val="21"/>
      <w:szCs w:val="22"/>
      <w:lang w:val="en-US" w:eastAsia="zh-CN" w:bidi="ar-SA"/>
    </w:rPr>
  </w:style>
  <w:style w:type="character" w:customStyle="1" w:styleId="120">
    <w:name w:val="正文文本缩进 字符"/>
    <w:basedOn w:val="47"/>
    <w:link w:val="20"/>
    <w:qFormat/>
    <w:uiPriority w:val="99"/>
    <w:rPr>
      <w:rFonts w:ascii="Times New Roman" w:hAnsi="Times New Roman" w:eastAsia="宋体" w:cs="Times New Roman"/>
      <w:szCs w:val="24"/>
    </w:rPr>
  </w:style>
  <w:style w:type="paragraph" w:customStyle="1" w:styleId="121">
    <w:name w:val="zw"/>
    <w:basedOn w:val="1"/>
    <w:qFormat/>
    <w:uiPriority w:val="0"/>
    <w:pPr>
      <w:widowControl/>
      <w:spacing w:before="30" w:line="240" w:lineRule="auto"/>
      <w:ind w:left="100" w:right="100"/>
    </w:pPr>
    <w:rPr>
      <w:rFonts w:ascii="方正书宋简体" w:hAnsi="宋体" w:eastAsia="方正书宋简体"/>
      <w:color w:val="000000"/>
      <w:kern w:val="0"/>
      <w:sz w:val="21"/>
      <w:szCs w:val="21"/>
    </w:rPr>
  </w:style>
  <w:style w:type="paragraph" w:customStyle="1" w:styleId="122">
    <w:name w:val="无间隔1"/>
    <w:qFormat/>
    <w:uiPriority w:val="99"/>
    <w:pPr>
      <w:adjustRightInd w:val="0"/>
      <w:snapToGrid w:val="0"/>
    </w:pPr>
    <w:rPr>
      <w:rFonts w:ascii="Tahoma" w:hAnsi="Tahoma" w:eastAsia="微软雅黑" w:cstheme="minorBidi"/>
      <w:kern w:val="0"/>
      <w:sz w:val="22"/>
      <w:szCs w:val="22"/>
      <w:lang w:val="en-US" w:eastAsia="zh-CN" w:bidi="ar-SA"/>
    </w:rPr>
  </w:style>
  <w:style w:type="paragraph" w:customStyle="1" w:styleId="123">
    <w:name w:val="列出段落1"/>
    <w:basedOn w:val="1"/>
    <w:link w:val="171"/>
    <w:qFormat/>
    <w:uiPriority w:val="34"/>
    <w:pPr>
      <w:spacing w:line="240" w:lineRule="auto"/>
      <w:ind w:firstLine="420"/>
    </w:pPr>
    <w:rPr>
      <w:rFonts w:ascii="Calibri" w:hAnsi="Calibri"/>
      <w:kern w:val="0"/>
      <w:sz w:val="21"/>
      <w:szCs w:val="20"/>
    </w:rPr>
  </w:style>
  <w:style w:type="paragraph" w:customStyle="1" w:styleId="124">
    <w:name w:val="无间隔11"/>
    <w:qFormat/>
    <w:uiPriority w:val="0"/>
    <w:pPr>
      <w:adjustRightInd w:val="0"/>
      <w:snapToGrid w:val="0"/>
    </w:pPr>
    <w:rPr>
      <w:rFonts w:ascii="Tahoma" w:hAnsi="Tahoma" w:eastAsia="微软雅黑" w:cstheme="minorBidi"/>
      <w:kern w:val="0"/>
      <w:sz w:val="22"/>
      <w:szCs w:val="22"/>
      <w:lang w:val="en-US" w:eastAsia="zh-CN" w:bidi="ar-SA"/>
    </w:rPr>
  </w:style>
  <w:style w:type="paragraph" w:customStyle="1" w:styleId="125">
    <w:name w:val="纯文本_3"/>
    <w:basedOn w:val="105"/>
    <w:qFormat/>
    <w:uiPriority w:val="0"/>
    <w:pPr>
      <w:widowControl/>
      <w:jc w:val="left"/>
    </w:pPr>
    <w:rPr>
      <w:rFonts w:ascii="宋体" w:hAnsi="Courier New" w:eastAsiaTheme="minorEastAsia" w:cstheme="minorBidi"/>
      <w:szCs w:val="21"/>
    </w:rPr>
  </w:style>
  <w:style w:type="paragraph" w:customStyle="1" w:styleId="126">
    <w:name w:val="纯文本_0_1"/>
    <w:basedOn w:val="1"/>
    <w:qFormat/>
    <w:uiPriority w:val="0"/>
    <w:pPr>
      <w:widowControl/>
      <w:spacing w:line="240" w:lineRule="auto"/>
      <w:jc w:val="left"/>
    </w:pPr>
    <w:rPr>
      <w:rFonts w:ascii="宋体" w:hAnsi="Courier New" w:eastAsiaTheme="minorEastAsia" w:cstheme="minorBidi"/>
      <w:sz w:val="21"/>
      <w:szCs w:val="21"/>
    </w:rPr>
  </w:style>
  <w:style w:type="paragraph" w:customStyle="1" w:styleId="127">
    <w:name w:val="正文_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正文_2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9">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0">
    <w:name w:val="Normal_15"/>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1">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2">
    <w:name w:val="标题1"/>
    <w:basedOn w:val="1"/>
    <w:next w:val="1"/>
    <w:qFormat/>
    <w:uiPriority w:val="0"/>
    <w:pPr>
      <w:adjustRightInd w:val="0"/>
      <w:spacing w:before="240" w:after="60" w:line="420" w:lineRule="atLeast"/>
      <w:jc w:val="center"/>
      <w:textAlignment w:val="baseline"/>
      <w:outlineLvl w:val="0"/>
    </w:pPr>
    <w:rPr>
      <w:rFonts w:ascii="Arial" w:hAnsi="Arial"/>
      <w:b/>
      <w:sz w:val="32"/>
    </w:rPr>
  </w:style>
  <w:style w:type="paragraph" w:customStyle="1" w:styleId="133">
    <w:name w:val="样式 表格样式 + 首行缩进:  0.63 厘米"/>
    <w:basedOn w:val="88"/>
    <w:qFormat/>
    <w:uiPriority w:val="0"/>
    <w:rPr>
      <w:rFonts w:cs="宋体"/>
      <w:szCs w:val="20"/>
    </w:rPr>
  </w:style>
  <w:style w:type="paragraph" w:customStyle="1" w:styleId="134">
    <w:name w:val="样式 表格样式 + 首行缩进:  0.63 厘米1"/>
    <w:basedOn w:val="88"/>
    <w:qFormat/>
    <w:uiPriority w:val="0"/>
    <w:rPr>
      <w:rFonts w:cs="宋体"/>
      <w:szCs w:val="20"/>
    </w:rPr>
  </w:style>
  <w:style w:type="character" w:customStyle="1" w:styleId="135">
    <w:name w:val="样式1 Char Char"/>
    <w:link w:val="136"/>
    <w:qFormat/>
    <w:uiPriority w:val="0"/>
    <w:rPr>
      <w:rFonts w:ascii="Arial" w:hAnsi="Arial" w:eastAsia="宋体"/>
      <w:szCs w:val="24"/>
    </w:rPr>
  </w:style>
  <w:style w:type="paragraph" w:customStyle="1" w:styleId="136">
    <w:name w:val="样式1"/>
    <w:basedOn w:val="1"/>
    <w:link w:val="135"/>
    <w:qFormat/>
    <w:uiPriority w:val="0"/>
    <w:pPr>
      <w:spacing w:line="360" w:lineRule="exact"/>
      <w:ind w:firstLine="200" w:firstLineChars="200"/>
    </w:pPr>
    <w:rPr>
      <w:rFonts w:ascii="Arial" w:hAnsi="Arial" w:cstheme="minorBidi"/>
      <w:sz w:val="21"/>
    </w:rPr>
  </w:style>
  <w:style w:type="character" w:customStyle="1" w:styleId="137">
    <w:name w:val="纯文本 Char"/>
    <w:qFormat/>
    <w:uiPriority w:val="0"/>
    <w:rPr>
      <w:rFonts w:ascii="宋体" w:hAnsi="Courier New" w:eastAsia="宋体"/>
      <w:kern w:val="2"/>
      <w:sz w:val="21"/>
      <w:lang w:val="en-US" w:eastAsia="zh-CN" w:bidi="ar-SA"/>
    </w:rPr>
  </w:style>
  <w:style w:type="character" w:customStyle="1" w:styleId="138">
    <w:name w:val="NormalCharacter"/>
    <w:qFormat/>
    <w:uiPriority w:val="0"/>
  </w:style>
  <w:style w:type="table" w:customStyle="1" w:styleId="139">
    <w:name w:val="网格型1"/>
    <w:basedOn w:val="4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0">
    <w:name w:val="网格型2"/>
    <w:basedOn w:val="4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1">
    <w:name w:val="表格标题"/>
    <w:basedOn w:val="25"/>
    <w:link w:val="142"/>
    <w:qFormat/>
    <w:uiPriority w:val="0"/>
    <w:pPr>
      <w:adjustRightInd w:val="0"/>
      <w:snapToGrid w:val="0"/>
      <w:ind w:firstLine="315" w:firstLineChars="150"/>
      <w:jc w:val="center"/>
    </w:pPr>
    <w:rPr>
      <w:rFonts w:ascii="Century Gothic" w:hAnsi="楷体_GB2312" w:eastAsia="Century Gothic" w:cs="楷体_GB2312"/>
      <w:b/>
      <w:kern w:val="0"/>
      <w:sz w:val="28"/>
    </w:rPr>
  </w:style>
  <w:style w:type="character" w:customStyle="1" w:styleId="142">
    <w:name w:val="表格标题 Char"/>
    <w:link w:val="141"/>
    <w:qFormat/>
    <w:uiPriority w:val="0"/>
    <w:rPr>
      <w:rFonts w:ascii="Century Gothic" w:hAnsi="楷体_GB2312" w:eastAsia="Century Gothic" w:cs="楷体_GB2312"/>
      <w:b/>
      <w:kern w:val="0"/>
      <w:sz w:val="28"/>
      <w:szCs w:val="24"/>
    </w:rPr>
  </w:style>
  <w:style w:type="paragraph" w:customStyle="1" w:styleId="143">
    <w:name w:val="首页1"/>
    <w:basedOn w:val="1"/>
    <w:link w:val="144"/>
    <w:qFormat/>
    <w:uiPriority w:val="0"/>
    <w:pPr>
      <w:autoSpaceDN w:val="0"/>
      <w:adjustRightInd w:val="0"/>
      <w:snapToGrid w:val="0"/>
      <w:spacing w:before="156" w:after="156"/>
      <w:jc w:val="right"/>
    </w:pPr>
    <w:rPr>
      <w:rFonts w:ascii="宋体" w:hAnsi="宋体"/>
      <w:b/>
      <w:w w:val="90"/>
      <w:kern w:val="0"/>
      <w:sz w:val="28"/>
      <w:lang w:bidi="th-TH"/>
    </w:rPr>
  </w:style>
  <w:style w:type="character" w:customStyle="1" w:styleId="144">
    <w:name w:val="首页1 Char"/>
    <w:link w:val="143"/>
    <w:qFormat/>
    <w:uiPriority w:val="0"/>
    <w:rPr>
      <w:rFonts w:ascii="宋体" w:hAnsi="宋体" w:eastAsia="宋体" w:cs="Times New Roman"/>
      <w:b/>
      <w:w w:val="90"/>
      <w:kern w:val="0"/>
      <w:sz w:val="28"/>
      <w:szCs w:val="24"/>
      <w:lang w:bidi="th-TH"/>
    </w:rPr>
  </w:style>
  <w:style w:type="paragraph" w:customStyle="1" w:styleId="145">
    <w:name w:val="首页2"/>
    <w:basedOn w:val="1"/>
    <w:link w:val="146"/>
    <w:qFormat/>
    <w:uiPriority w:val="0"/>
    <w:pPr>
      <w:autoSpaceDN w:val="0"/>
      <w:adjustRightInd w:val="0"/>
      <w:snapToGrid w:val="0"/>
      <w:spacing w:before="156" w:after="156"/>
      <w:jc w:val="center"/>
    </w:pPr>
    <w:rPr>
      <w:rFonts w:ascii="宋体" w:hAnsi="宋体"/>
      <w:b/>
      <w:w w:val="90"/>
      <w:kern w:val="0"/>
      <w:sz w:val="44"/>
      <w:lang w:bidi="th-TH"/>
    </w:rPr>
  </w:style>
  <w:style w:type="character" w:customStyle="1" w:styleId="146">
    <w:name w:val="首页2 Char"/>
    <w:link w:val="145"/>
    <w:qFormat/>
    <w:uiPriority w:val="0"/>
    <w:rPr>
      <w:rFonts w:ascii="宋体" w:hAnsi="宋体" w:eastAsia="宋体" w:cs="Times New Roman"/>
      <w:b/>
      <w:w w:val="90"/>
      <w:kern w:val="0"/>
      <w:sz w:val="44"/>
      <w:szCs w:val="24"/>
      <w:lang w:bidi="th-TH"/>
    </w:rPr>
  </w:style>
  <w:style w:type="paragraph" w:customStyle="1" w:styleId="147">
    <w:name w:val="首页3"/>
    <w:basedOn w:val="1"/>
    <w:link w:val="148"/>
    <w:qFormat/>
    <w:uiPriority w:val="0"/>
    <w:pPr>
      <w:autoSpaceDN w:val="0"/>
      <w:adjustRightInd w:val="0"/>
      <w:snapToGrid w:val="0"/>
      <w:spacing w:before="156" w:after="156"/>
      <w:jc w:val="center"/>
    </w:pPr>
    <w:rPr>
      <w:rFonts w:ascii="宋体" w:hAnsi="宋体"/>
      <w:b/>
      <w:w w:val="90"/>
      <w:kern w:val="0"/>
      <w:sz w:val="32"/>
      <w:lang w:bidi="th-TH"/>
    </w:rPr>
  </w:style>
  <w:style w:type="character" w:customStyle="1" w:styleId="148">
    <w:name w:val="首页3 Char"/>
    <w:link w:val="147"/>
    <w:qFormat/>
    <w:uiPriority w:val="0"/>
    <w:rPr>
      <w:rFonts w:ascii="宋体" w:hAnsi="宋体" w:eastAsia="宋体" w:cs="Times New Roman"/>
      <w:b/>
      <w:w w:val="90"/>
      <w:kern w:val="0"/>
      <w:sz w:val="32"/>
      <w:szCs w:val="24"/>
      <w:lang w:bidi="th-TH"/>
    </w:rPr>
  </w:style>
  <w:style w:type="paragraph" w:customStyle="1" w:styleId="149">
    <w:name w:val="首页4"/>
    <w:basedOn w:val="1"/>
    <w:link w:val="150"/>
    <w:qFormat/>
    <w:uiPriority w:val="0"/>
    <w:pPr>
      <w:autoSpaceDN w:val="0"/>
      <w:adjustRightInd w:val="0"/>
      <w:snapToGrid w:val="0"/>
      <w:spacing w:before="156" w:after="156"/>
      <w:jc w:val="left"/>
    </w:pPr>
    <w:rPr>
      <w:rFonts w:ascii="宋体" w:hAnsi="宋体"/>
      <w:b/>
      <w:w w:val="90"/>
      <w:kern w:val="0"/>
      <w:sz w:val="32"/>
      <w:lang w:bidi="th-TH"/>
    </w:rPr>
  </w:style>
  <w:style w:type="character" w:customStyle="1" w:styleId="150">
    <w:name w:val="首页4 Char"/>
    <w:link w:val="149"/>
    <w:qFormat/>
    <w:uiPriority w:val="0"/>
    <w:rPr>
      <w:rFonts w:ascii="宋体" w:hAnsi="宋体" w:eastAsia="宋体" w:cs="Times New Roman"/>
      <w:b/>
      <w:w w:val="90"/>
      <w:kern w:val="0"/>
      <w:sz w:val="32"/>
      <w:szCs w:val="24"/>
      <w:lang w:bidi="th-TH"/>
    </w:rPr>
  </w:style>
  <w:style w:type="paragraph" w:customStyle="1" w:styleId="151">
    <w:name w:val="首页5"/>
    <w:basedOn w:val="1"/>
    <w:link w:val="152"/>
    <w:qFormat/>
    <w:uiPriority w:val="0"/>
    <w:pPr>
      <w:autoSpaceDN w:val="0"/>
      <w:adjustRightInd w:val="0"/>
      <w:snapToGrid w:val="0"/>
      <w:spacing w:before="156" w:after="156"/>
      <w:jc w:val="center"/>
    </w:pPr>
    <w:rPr>
      <w:rFonts w:ascii="宋体" w:hAnsi="宋体"/>
      <w:b/>
      <w:w w:val="90"/>
      <w:kern w:val="0"/>
      <w:sz w:val="52"/>
      <w:lang w:bidi="th-TH"/>
    </w:rPr>
  </w:style>
  <w:style w:type="character" w:customStyle="1" w:styleId="152">
    <w:name w:val="首页5 Char"/>
    <w:link w:val="151"/>
    <w:qFormat/>
    <w:uiPriority w:val="0"/>
    <w:rPr>
      <w:rFonts w:ascii="宋体" w:hAnsi="宋体" w:eastAsia="宋体" w:cs="Times New Roman"/>
      <w:b/>
      <w:w w:val="90"/>
      <w:kern w:val="0"/>
      <w:sz w:val="52"/>
      <w:szCs w:val="24"/>
      <w:lang w:bidi="th-TH"/>
    </w:rPr>
  </w:style>
  <w:style w:type="paragraph" w:customStyle="1" w:styleId="153">
    <w:name w:val="表格"/>
    <w:basedOn w:val="1"/>
    <w:link w:val="154"/>
    <w:qFormat/>
    <w:uiPriority w:val="0"/>
    <w:pPr>
      <w:autoSpaceDN w:val="0"/>
      <w:adjustRightInd w:val="0"/>
      <w:snapToGrid w:val="0"/>
      <w:jc w:val="center"/>
    </w:pPr>
    <w:rPr>
      <w:rFonts w:ascii="宋体" w:hAnsi="宋体"/>
      <w:kern w:val="0"/>
    </w:rPr>
  </w:style>
  <w:style w:type="character" w:customStyle="1" w:styleId="154">
    <w:name w:val="表格 Char"/>
    <w:link w:val="153"/>
    <w:qFormat/>
    <w:uiPriority w:val="0"/>
    <w:rPr>
      <w:rFonts w:ascii="宋体" w:hAnsi="宋体" w:eastAsia="宋体" w:cs="Times New Roman"/>
      <w:kern w:val="0"/>
      <w:sz w:val="24"/>
      <w:szCs w:val="24"/>
    </w:rPr>
  </w:style>
  <w:style w:type="table" w:customStyle="1" w:styleId="155">
    <w:name w:val="表格格式3"/>
    <w:basedOn w:val="45"/>
    <w:qFormat/>
    <w:uiPriority w:val="99"/>
    <w:rPr>
      <w:rFonts w:ascii="Calibri" w:hAnsi="Calibri" w:eastAsia="宋体" w:cs="Times New Roman"/>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style>
  <w:style w:type="paragraph" w:customStyle="1" w:styleId="156">
    <w:name w:val="列出段落2"/>
    <w:basedOn w:val="1"/>
    <w:qFormat/>
    <w:uiPriority w:val="0"/>
    <w:pPr>
      <w:ind w:firstLine="420"/>
    </w:pPr>
  </w:style>
  <w:style w:type="character" w:customStyle="1" w:styleId="157">
    <w:name w:val="副标题 字符"/>
    <w:basedOn w:val="47"/>
    <w:link w:val="35"/>
    <w:qFormat/>
    <w:uiPriority w:val="11"/>
    <w:rPr>
      <w:rFonts w:eastAsia="宋体" w:asciiTheme="majorHAnsi" w:hAnsiTheme="majorHAnsi" w:cstheme="majorBidi"/>
      <w:b/>
      <w:bCs/>
      <w:kern w:val="28"/>
      <w:sz w:val="32"/>
      <w:szCs w:val="32"/>
    </w:rPr>
  </w:style>
  <w:style w:type="paragraph" w:customStyle="1" w:styleId="158">
    <w:name w:val="默认段落字体 Para Char Char Char Char Char Char Char Char Char1 Char Char Char Char"/>
    <w:basedOn w:val="1"/>
    <w:qFormat/>
    <w:uiPriority w:val="0"/>
    <w:rPr>
      <w:rFonts w:ascii="Tahoma" w:hAnsi="Tahoma"/>
      <w:szCs w:val="20"/>
    </w:rPr>
  </w:style>
  <w:style w:type="character" w:customStyle="1" w:styleId="159">
    <w:name w:val="正文文本 3 字符"/>
    <w:basedOn w:val="47"/>
    <w:link w:val="19"/>
    <w:qFormat/>
    <w:uiPriority w:val="0"/>
    <w:rPr>
      <w:rFonts w:ascii="Times New Roman" w:hAnsi="Times New Roman" w:eastAsia="宋体" w:cs="Times New Roman"/>
      <w:sz w:val="16"/>
      <w:szCs w:val="16"/>
    </w:rPr>
  </w:style>
  <w:style w:type="paragraph" w:customStyle="1" w:styleId="160">
    <w:name w:val="p0"/>
    <w:basedOn w:val="1"/>
    <w:qFormat/>
    <w:uiPriority w:val="0"/>
    <w:pPr>
      <w:widowControl/>
      <w:spacing w:line="240" w:lineRule="auto"/>
    </w:pPr>
    <w:rPr>
      <w:kern w:val="0"/>
      <w:sz w:val="21"/>
    </w:rPr>
  </w:style>
  <w:style w:type="paragraph" w:customStyle="1" w:styleId="161">
    <w:name w:val="正文文本1"/>
    <w:basedOn w:val="1"/>
    <w:qFormat/>
    <w:uiPriority w:val="0"/>
    <w:pPr>
      <w:tabs>
        <w:tab w:val="left" w:pos="0"/>
      </w:tabs>
      <w:snapToGrid w:val="0"/>
      <w:ind w:left="360" w:leftChars="150" w:right="240" w:rightChars="100" w:firstLine="482"/>
      <w:jc w:val="left"/>
    </w:pPr>
    <w:rPr>
      <w:rFonts w:ascii="宋体" w:hAnsi="宋体" w:cs="宋体"/>
      <w:b/>
    </w:rPr>
  </w:style>
  <w:style w:type="paragraph" w:customStyle="1" w:styleId="162">
    <w:name w:val="样式15"/>
    <w:basedOn w:val="29"/>
    <w:link w:val="163"/>
    <w:qFormat/>
    <w:uiPriority w:val="0"/>
    <w:pPr>
      <w:ind w:firstLine="723"/>
      <w:jc w:val="center"/>
    </w:pPr>
    <w:rPr>
      <w:b/>
      <w:kern w:val="0"/>
      <w:sz w:val="30"/>
    </w:rPr>
  </w:style>
  <w:style w:type="character" w:customStyle="1" w:styleId="163">
    <w:name w:val="样式15 Char"/>
    <w:link w:val="162"/>
    <w:qFormat/>
    <w:uiPriority w:val="0"/>
    <w:rPr>
      <w:rFonts w:ascii="Times New Roman" w:hAnsi="Times New Roman" w:eastAsia="宋体" w:cs="Times New Roman"/>
      <w:b/>
      <w:kern w:val="0"/>
      <w:sz w:val="30"/>
      <w:szCs w:val="18"/>
    </w:rPr>
  </w:style>
  <w:style w:type="character" w:customStyle="1" w:styleId="164">
    <w:name w:val="正文文本缩进 3 字符"/>
    <w:basedOn w:val="47"/>
    <w:link w:val="37"/>
    <w:semiHidden/>
    <w:qFormat/>
    <w:uiPriority w:val="99"/>
    <w:rPr>
      <w:rFonts w:ascii="Times New Roman" w:hAnsi="Times New Roman" w:eastAsia="宋体" w:cs="Times New Roman"/>
      <w:sz w:val="16"/>
      <w:szCs w:val="16"/>
    </w:rPr>
  </w:style>
  <w:style w:type="table" w:customStyle="1" w:styleId="165">
    <w:name w:val="Plain Table 2"/>
    <w:basedOn w:val="45"/>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166">
    <w:name w:val="正文表格"/>
    <w:basedOn w:val="1"/>
    <w:qFormat/>
    <w:uiPriority w:val="0"/>
    <w:pPr>
      <w:spacing w:before="20" w:after="20" w:line="240" w:lineRule="auto"/>
      <w:ind w:left="20" w:right="20"/>
    </w:pPr>
    <w:rPr>
      <w:szCs w:val="20"/>
    </w:rPr>
  </w:style>
  <w:style w:type="character" w:customStyle="1" w:styleId="167">
    <w:name w:val="正文2 Char"/>
    <w:basedOn w:val="47"/>
    <w:link w:val="75"/>
    <w:qFormat/>
    <w:uiPriority w:val="0"/>
    <w:rPr>
      <w:rFonts w:ascii="Times New Roman" w:hAnsi="Times New Roman" w:eastAsia="宋体" w:cs="Times New Roman"/>
      <w:sz w:val="24"/>
      <w:szCs w:val="24"/>
    </w:rPr>
  </w:style>
  <w:style w:type="paragraph" w:customStyle="1" w:styleId="168">
    <w:name w:val="图片题注"/>
    <w:basedOn w:val="15"/>
    <w:link w:val="169"/>
    <w:qFormat/>
    <w:uiPriority w:val="0"/>
    <w:pPr>
      <w:spacing w:line="240" w:lineRule="auto"/>
      <w:jc w:val="center"/>
    </w:pPr>
    <w:rPr>
      <w:rFonts w:ascii="黑体" w:hAnsi="黑体" w:cs="Times New Roman"/>
    </w:rPr>
  </w:style>
  <w:style w:type="character" w:customStyle="1" w:styleId="169">
    <w:name w:val="图片题注 Char"/>
    <w:link w:val="168"/>
    <w:qFormat/>
    <w:uiPriority w:val="0"/>
    <w:rPr>
      <w:rFonts w:ascii="黑体" w:hAnsi="黑体" w:eastAsia="黑体" w:cs="Times New Roman"/>
      <w:sz w:val="20"/>
      <w:szCs w:val="20"/>
    </w:rPr>
  </w:style>
  <w:style w:type="paragraph" w:customStyle="1" w:styleId="170">
    <w:name w:val="自用 + 首行缩进"/>
    <w:basedOn w:val="1"/>
    <w:qFormat/>
    <w:uiPriority w:val="0"/>
    <w:pPr>
      <w:spacing w:before="120" w:after="120"/>
    </w:pPr>
    <w:rPr>
      <w:rFonts w:cs="宋体" w:eastAsiaTheme="minorEastAsia"/>
      <w:sz w:val="21"/>
      <w:szCs w:val="20"/>
    </w:rPr>
  </w:style>
  <w:style w:type="character" w:customStyle="1" w:styleId="171">
    <w:name w:val="List Paragraph Char Char"/>
    <w:link w:val="123"/>
    <w:qFormat/>
    <w:locked/>
    <w:uiPriority w:val="34"/>
    <w:rPr>
      <w:rFonts w:ascii="Calibri" w:hAnsi="Calibri" w:eastAsia="宋体" w:cs="Times New Roman"/>
      <w:kern w:val="0"/>
      <w:szCs w:val="20"/>
    </w:rPr>
  </w:style>
  <w:style w:type="paragraph" w:customStyle="1" w:styleId="172">
    <w:name w:val="应答"/>
    <w:basedOn w:val="1"/>
    <w:link w:val="173"/>
    <w:qFormat/>
    <w:uiPriority w:val="0"/>
    <w:pPr>
      <w:spacing w:before="156" w:after="156" w:line="460" w:lineRule="exact"/>
      <w:ind w:firstLine="588" w:firstLineChars="245"/>
    </w:pPr>
    <w:rPr>
      <w:rFonts w:ascii="宋体" w:hAnsi="宋体"/>
      <w:b/>
      <w:bCs/>
      <w:i/>
      <w:color w:val="C00000"/>
      <w:kern w:val="0"/>
    </w:rPr>
  </w:style>
  <w:style w:type="character" w:customStyle="1" w:styleId="173">
    <w:name w:val="应答 字符"/>
    <w:basedOn w:val="47"/>
    <w:link w:val="172"/>
    <w:qFormat/>
    <w:uiPriority w:val="0"/>
    <w:rPr>
      <w:rFonts w:ascii="宋体" w:hAnsi="宋体" w:eastAsia="宋体" w:cs="Times New Roman"/>
      <w:b/>
      <w:bCs/>
      <w:i/>
      <w:color w:val="C00000"/>
      <w:kern w:val="0"/>
      <w:sz w:val="24"/>
      <w:szCs w:val="24"/>
    </w:rPr>
  </w:style>
  <w:style w:type="paragraph" w:customStyle="1" w:styleId="174">
    <w:name w:val="表头格式"/>
    <w:basedOn w:val="108"/>
    <w:link w:val="175"/>
    <w:qFormat/>
    <w:uiPriority w:val="0"/>
    <w:pPr>
      <w:jc w:val="center"/>
    </w:pPr>
  </w:style>
  <w:style w:type="character" w:customStyle="1" w:styleId="175">
    <w:name w:val="表头格式 字符"/>
    <w:basedOn w:val="109"/>
    <w:link w:val="174"/>
    <w:qFormat/>
    <w:uiPriority w:val="0"/>
    <w:rPr>
      <w:rFonts w:ascii="宋体" w:hAnsi="宋体" w:eastAsia="宋体" w:cs="Times New Roman"/>
      <w:kern w:val="0"/>
      <w:sz w:val="24"/>
      <w:szCs w:val="24"/>
    </w:rPr>
  </w:style>
  <w:style w:type="paragraph" w:customStyle="1" w:styleId="176">
    <w:name w:val="表头"/>
    <w:basedOn w:val="108"/>
    <w:link w:val="177"/>
    <w:qFormat/>
    <w:uiPriority w:val="0"/>
    <w:pPr>
      <w:jc w:val="center"/>
    </w:pPr>
  </w:style>
  <w:style w:type="character" w:customStyle="1" w:styleId="177">
    <w:name w:val="表头 字符"/>
    <w:basedOn w:val="109"/>
    <w:link w:val="176"/>
    <w:qFormat/>
    <w:uiPriority w:val="0"/>
    <w:rPr>
      <w:rFonts w:ascii="宋体" w:hAnsi="宋体" w:eastAsia="宋体" w:cs="Times New Roman"/>
      <w:kern w:val="0"/>
      <w:sz w:val="24"/>
      <w:szCs w:val="24"/>
    </w:rPr>
  </w:style>
  <w:style w:type="paragraph" w:customStyle="1" w:styleId="178">
    <w:name w:val="bullet"/>
    <w:basedOn w:val="1"/>
    <w:qFormat/>
    <w:uiPriority w:val="0"/>
    <w:pPr>
      <w:tabs>
        <w:tab w:val="left" w:pos="720"/>
      </w:tabs>
      <w:ind w:left="720" w:hanging="360"/>
    </w:pPr>
  </w:style>
  <w:style w:type="paragraph" w:customStyle="1" w:styleId="179">
    <w:name w:val="*正文"/>
    <w:basedOn w:val="1"/>
    <w:qFormat/>
    <w:uiPriority w:val="0"/>
    <w:pPr>
      <w:widowControl/>
      <w:ind w:firstLine="200" w:firstLineChars="200"/>
      <w:jc w:val="left"/>
    </w:pPr>
    <w:rPr>
      <w:rFonts w:ascii="宋体" w:hAnsi="宋体" w:cs="宋体"/>
      <w:kern w:val="0"/>
      <w:sz w:val="30"/>
      <w:szCs w:val="20"/>
    </w:rPr>
  </w:style>
  <w:style w:type="paragraph" w:customStyle="1" w:styleId="180">
    <w:name w:val="图"/>
    <w:basedOn w:val="1"/>
    <w:qFormat/>
    <w:uiPriority w:val="0"/>
    <w:pPr>
      <w:keepNext/>
      <w:widowControl/>
      <w:adjustRightInd w:val="0"/>
      <w:spacing w:before="60" w:after="60" w:line="300" w:lineRule="auto"/>
      <w:jc w:val="center"/>
      <w:textAlignment w:val="center"/>
    </w:pPr>
    <w:rPr>
      <w:rFonts w:ascii="宋体" w:hAnsi="宋体" w:cs="宋体"/>
      <w:snapToGrid w:val="0"/>
      <w:spacing w:val="20"/>
      <w:kern w:val="0"/>
      <w:szCs w:val="20"/>
    </w:rPr>
  </w:style>
  <w:style w:type="paragraph" w:customStyle="1" w:styleId="181">
    <w:name w:val="xl29"/>
    <w:basedOn w:val="1"/>
    <w:qFormat/>
    <w:uiPriority w:val="0"/>
    <w:pPr>
      <w:widowControl/>
      <w:spacing w:before="100" w:beforeAutospacing="1" w:after="100" w:afterAutospacing="1" w:line="240" w:lineRule="auto"/>
      <w:jc w:val="center"/>
    </w:pPr>
    <w:rPr>
      <w:rFonts w:ascii="宋体" w:hAnsi="宋体" w:cs="宋体"/>
      <w:kern w:val="0"/>
      <w:sz w:val="28"/>
      <w:szCs w:val="28"/>
    </w:rPr>
  </w:style>
  <w:style w:type="paragraph" w:customStyle="1" w:styleId="182">
    <w:name w:val="Table Paragraph"/>
    <w:basedOn w:val="1"/>
    <w:qFormat/>
    <w:uiPriority w:val="1"/>
    <w:pPr>
      <w:widowControl/>
      <w:spacing w:line="240" w:lineRule="auto"/>
      <w:jc w:val="left"/>
    </w:pPr>
    <w:rPr>
      <w:rFonts w:ascii="宋体" w:hAnsi="宋体" w:cs="宋体"/>
      <w:kern w:val="0"/>
    </w:rPr>
  </w:style>
  <w:style w:type="paragraph" w:customStyle="1" w:styleId="183">
    <w:name w:val="正文-2"/>
    <w:basedOn w:val="1"/>
    <w:next w:val="1"/>
    <w:qFormat/>
    <w:uiPriority w:val="0"/>
    <w:pPr>
      <w:jc w:val="left"/>
    </w:pPr>
    <w:rPr>
      <w:rFonts w:ascii="Book Antiqua" w:hAnsi="Book Antiqua"/>
      <w:szCs w:val="21"/>
    </w:rPr>
  </w:style>
  <w:style w:type="paragraph" w:customStyle="1" w:styleId="184">
    <w:name w:val="序号"/>
    <w:basedOn w:val="1"/>
    <w:qFormat/>
    <w:uiPriority w:val="0"/>
    <w:pPr>
      <w:numPr>
        <w:ilvl w:val="0"/>
        <w:numId w:val="12"/>
      </w:numPr>
    </w:pPr>
    <w:rPr>
      <w:rFonts w:eastAsiaTheme="minorEastAsia" w:cstheme="minorBidi"/>
      <w:bCs/>
      <w:szCs w:val="22"/>
    </w:rPr>
  </w:style>
  <w:style w:type="paragraph" w:customStyle="1" w:styleId="185">
    <w:name w:val="表标题"/>
    <w:basedOn w:val="1"/>
    <w:qFormat/>
    <w:uiPriority w:val="0"/>
    <w:pPr>
      <w:numPr>
        <w:ilvl w:val="0"/>
        <w:numId w:val="13"/>
      </w:numPr>
      <w:spacing w:before="156" w:beforeLines="50" w:after="156" w:afterLines="50" w:line="240" w:lineRule="atLeast"/>
      <w:ind w:right="210" w:rightChars="100"/>
      <w:jc w:val="left"/>
    </w:pPr>
    <w:rPr>
      <w:rFonts w:ascii="黑体" w:hAnsi="黑体" w:eastAsia="黑体" w:cstheme="minorBidi"/>
      <w:sz w:val="21"/>
      <w:szCs w:val="22"/>
    </w:rPr>
  </w:style>
  <w:style w:type="character" w:customStyle="1" w:styleId="186">
    <w:name w:val="正文文本首行缩进 字符"/>
    <w:basedOn w:val="62"/>
    <w:link w:val="44"/>
    <w:semiHidden/>
    <w:qFormat/>
    <w:uiPriority w:val="99"/>
    <w:rPr>
      <w:rFonts w:ascii="宋体" w:hAnsi="宋体" w:eastAsia="宋体" w:cs="宋体"/>
      <w:kern w:val="0"/>
      <w:sz w:val="24"/>
      <w:szCs w:val="24"/>
    </w:rPr>
  </w:style>
  <w:style w:type="paragraph" w:customStyle="1" w:styleId="187">
    <w:name w:val="样式 标题 2 + 宋体 五号 行距: 单倍行距"/>
    <w:basedOn w:val="4"/>
    <w:qFormat/>
    <w:uiPriority w:val="0"/>
    <w:pPr>
      <w:numPr>
        <w:numId w:val="14"/>
      </w:numPr>
      <w:tabs>
        <w:tab w:val="left" w:pos="1320"/>
      </w:tabs>
      <w:adjustRightInd w:val="0"/>
      <w:spacing w:before="0" w:beforeLines="0" w:after="0" w:afterLines="0"/>
    </w:pPr>
    <w:rPr>
      <w:rFonts w:hint="eastAsia" w:ascii="宋体" w:hAnsi="宋体"/>
      <w:bCs w:val="0"/>
      <w:sz w:val="21"/>
      <w:szCs w:val="20"/>
    </w:rPr>
  </w:style>
  <w:style w:type="paragraph" w:customStyle="1" w:styleId="188">
    <w:name w:val="附图"/>
    <w:basedOn w:val="1"/>
    <w:qFormat/>
    <w:uiPriority w:val="0"/>
    <w:pPr>
      <w:numPr>
        <w:ilvl w:val="0"/>
        <w:numId w:val="15"/>
      </w:numPr>
      <w:spacing w:after="240" w:afterLines="100" w:line="240" w:lineRule="auto"/>
    </w:pPr>
    <w:rPr>
      <w:rFonts w:ascii="Arial" w:hAnsi="Arial" w:eastAsia="黑体" w:cstheme="minorBidi"/>
      <w:szCs w:val="22"/>
      <w:lang w:val="zh-CN" w:eastAsia="zh-CN"/>
    </w:rPr>
  </w:style>
  <w:style w:type="paragraph" w:customStyle="1" w:styleId="189">
    <w:name w:val="Default Char"/>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108;&#21941;\AppData\Roaming\Microsoft\Templates\MC&#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30F87-722C-4090-A569-FE000C8D3B71}">
  <ds:schemaRefs/>
</ds:datastoreItem>
</file>

<file path=docProps/app.xml><?xml version="1.0" encoding="utf-8"?>
<Properties xmlns="http://schemas.openxmlformats.org/officeDocument/2006/extended-properties" xmlns:vt="http://schemas.openxmlformats.org/officeDocument/2006/docPropsVTypes">
  <Template>MC模板</Template>
  <Pages>16</Pages>
  <Words>14885</Words>
  <Characters>15642</Characters>
  <Lines>114</Lines>
  <Paragraphs>32</Paragraphs>
  <TotalTime>7</TotalTime>
  <ScaleCrop>false</ScaleCrop>
  <LinksUpToDate>false</LinksUpToDate>
  <CharactersWithSpaces>15722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2023-10-13T02:23:00Z</dcterms:created>
  <dc:creator>user w</dc:creator>
  <cp:lastModifiedBy>黄秉勋</cp:lastModifiedBy>
  <dcterms:modified xsi:type="dcterms:W3CDTF">2023-10-13T06:50:03Z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7F526936EFC24E408693E170677D1EDB</vt:lpwstr>
  </property>
</Properties>
</file>